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02FDE" w:rsidP="00FC4B69">
      <w:pPr>
        <w:jc w:val="both"/>
        <w:rPr>
          <w:rFonts w:ascii="Tahoma" w:hAnsi="Tahoma" w:cs="Tahoma"/>
          <w:b/>
          <w:sz w:val="44"/>
          <w:szCs w:val="44"/>
          <w:lang w:val="es-MX"/>
        </w:rPr>
      </w:pPr>
      <w:r w:rsidRPr="004F4FE5">
        <w:rPr>
          <w:rFonts w:ascii="Tahoma" w:hAnsi="Tahoma" w:cs="Tahoma"/>
          <w:b/>
          <w:sz w:val="44"/>
          <w:szCs w:val="44"/>
          <w:lang w:val="es-MX"/>
        </w:rPr>
        <w:t xml:space="preserve">CONVOCATORIA A LA LICITACIÓN PÚBLICA NACIONAL </w:t>
      </w:r>
      <w:r w:rsidR="0000760A">
        <w:rPr>
          <w:rFonts w:ascii="Tahoma" w:hAnsi="Tahoma" w:cs="Tahoma"/>
          <w:b/>
          <w:sz w:val="44"/>
          <w:szCs w:val="44"/>
          <w:lang w:val="es-MX"/>
        </w:rPr>
        <w:t xml:space="preserve">ELECTRÓNICA </w:t>
      </w:r>
      <w:r w:rsidRPr="004F4FE5">
        <w:rPr>
          <w:rFonts w:ascii="Tahoma" w:hAnsi="Tahoma" w:cs="Tahoma"/>
          <w:b/>
          <w:sz w:val="44"/>
          <w:szCs w:val="44"/>
          <w:lang w:val="es-MX"/>
        </w:rPr>
        <w:t xml:space="preserve">NUMERO </w:t>
      </w:r>
      <w:r>
        <w:rPr>
          <w:rFonts w:ascii="Tahoma" w:hAnsi="Tahoma" w:cs="Tahoma"/>
          <w:b/>
          <w:sz w:val="44"/>
          <w:szCs w:val="44"/>
          <w:lang w:val="es-MX"/>
        </w:rPr>
        <w:t>L</w:t>
      </w:r>
      <w:r w:rsidR="00FC4B69">
        <w:rPr>
          <w:rFonts w:ascii="Tahoma" w:hAnsi="Tahoma" w:cs="Tahoma"/>
          <w:b/>
          <w:sz w:val="44"/>
          <w:szCs w:val="44"/>
          <w:lang w:val="es-MX"/>
        </w:rPr>
        <w:t>O-009J2P002-</w:t>
      </w:r>
      <w:r w:rsidR="00FC4B69" w:rsidRPr="00706188">
        <w:rPr>
          <w:rFonts w:ascii="Tahoma" w:hAnsi="Tahoma" w:cs="Tahoma"/>
          <w:b/>
          <w:sz w:val="44"/>
          <w:szCs w:val="44"/>
          <w:lang w:val="es-MX"/>
        </w:rPr>
        <w:t>N</w:t>
      </w:r>
      <w:r w:rsidR="009D21D5" w:rsidRPr="00706188">
        <w:rPr>
          <w:rFonts w:ascii="Tahoma" w:hAnsi="Tahoma" w:cs="Tahoma"/>
          <w:b/>
          <w:sz w:val="44"/>
          <w:szCs w:val="44"/>
          <w:lang w:val="es-MX"/>
        </w:rPr>
        <w:t>1</w:t>
      </w:r>
      <w:r w:rsidR="00FC4B69">
        <w:rPr>
          <w:rFonts w:ascii="Tahoma" w:hAnsi="Tahoma" w:cs="Tahoma"/>
          <w:b/>
          <w:sz w:val="44"/>
          <w:szCs w:val="44"/>
          <w:lang w:val="es-MX"/>
        </w:rPr>
        <w:t>-201</w:t>
      </w:r>
      <w:r w:rsidR="009D21D5">
        <w:rPr>
          <w:rFonts w:ascii="Tahoma" w:hAnsi="Tahoma" w:cs="Tahoma"/>
          <w:b/>
          <w:sz w:val="44"/>
          <w:szCs w:val="44"/>
          <w:lang w:val="es-MX"/>
        </w:rPr>
        <w:t>3</w:t>
      </w:r>
      <w:r w:rsidR="00FC4B69" w:rsidRPr="004F4FE5">
        <w:rPr>
          <w:rFonts w:ascii="Tahoma" w:hAnsi="Tahoma" w:cs="Tahoma"/>
          <w:b/>
          <w:sz w:val="44"/>
          <w:szCs w:val="44"/>
          <w:lang w:val="es-MX"/>
        </w:rPr>
        <w:t xml:space="preserve"> QUE CONTIENE LAS BASES DE CONTRATACIÓN DE OBRA PÚBLICA 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873B1C">
        <w:rPr>
          <w:rFonts w:ascii="Tahoma" w:hAnsi="Tahoma" w:cs="Tahoma"/>
          <w:b/>
          <w:sz w:val="32"/>
          <w:lang w:val="es-MX"/>
        </w:rPr>
        <w:t>CONSTRUCCION DE LA SEGUNDA ETAPA  DEL BARDEADO PERIMETRAL EN EL PARQUE INDUSTRIAL DEL PUERTO DE DOS BOCAS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AD201F" w:rsidRPr="004F4FE5">
        <w:rPr>
          <w:rFonts w:ascii="Tahoma" w:hAnsi="Tahoma" w:cs="Tahoma"/>
          <w:b/>
          <w:sz w:val="48"/>
          <w:lang w:val="es-MX"/>
        </w:rPr>
        <w:t>Convocatoria a la licitación</w:t>
      </w:r>
      <w:r w:rsidR="0000760A">
        <w:rPr>
          <w:rFonts w:ascii="Tahoma" w:hAnsi="Tahoma" w:cs="Tahoma"/>
          <w:b/>
          <w:sz w:val="48"/>
          <w:lang w:val="es-MX"/>
        </w:rPr>
        <w:t xml:space="preserve"> Pública Nacional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562163" w:rsidRPr="00562163">
        <w:rPr>
          <w:rFonts w:ascii="Tahoma" w:hAnsi="Tahoma" w:cs="Tahoma"/>
          <w:b/>
          <w:sz w:val="20"/>
          <w:szCs w:val="20"/>
          <w:highlight w:val="yellow"/>
          <w:u w:val="single"/>
          <w:lang w:val="es-MX"/>
        </w:rPr>
        <w:t>05 de Marzo de 2013</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AD201F" w:rsidP="000B2DA4">
      <w:pPr>
        <w:pStyle w:val="Ttulo3"/>
        <w:ind w:left="142" w:right="51" w:firstLine="0"/>
        <w:jc w:val="center"/>
        <w:rPr>
          <w:rFonts w:cs="Arial"/>
          <w:bCs w:val="0"/>
          <w:iCs/>
        </w:rPr>
      </w:pPr>
      <w:r w:rsidRPr="004F4FE5">
        <w:rPr>
          <w:rFonts w:cs="Arial"/>
        </w:rPr>
        <w:t>CONVOCATORIA</w:t>
      </w:r>
      <w:r w:rsidRPr="004F4FE5">
        <w:rPr>
          <w:rFonts w:cs="Arial"/>
          <w:bCs w:val="0"/>
          <w:iCs/>
        </w:rPr>
        <w:t xml:space="preserve"> A LA LICITACIÓN PÚBLICA NACIONAL </w:t>
      </w:r>
      <w:r w:rsidR="0000760A">
        <w:rPr>
          <w:rFonts w:cs="Arial"/>
          <w:bCs w:val="0"/>
          <w:iCs/>
        </w:rPr>
        <w:t xml:space="preserve">ELECTRÓNICA </w:t>
      </w:r>
      <w:r w:rsidRPr="004F4FE5">
        <w:rPr>
          <w:rFonts w:cs="Arial"/>
          <w:bCs w:val="0"/>
          <w:iCs/>
        </w:rPr>
        <w:t>QUE CONTIENE LAS BASES DE CONTRATACIÓN DE OBRA</w:t>
      </w:r>
      <w:r w:rsidRPr="004F4FE5">
        <w:rPr>
          <w:rFonts w:cs="Arial"/>
        </w:rPr>
        <w:t xml:space="preserve"> PÚBLICA A PRECIOS UNITARIOS Y TIEMPO DETERMINADO, POR EL MECANISMO DE EVALUACIÓN</w:t>
      </w:r>
      <w:r w:rsidRPr="004F4FE5">
        <w:rPr>
          <w:rFonts w:cs="Arial"/>
          <w:color w:val="FF0000"/>
        </w:rPr>
        <w:t xml:space="preserve"> </w:t>
      </w:r>
      <w:r w:rsidR="00414D0A">
        <w:rPr>
          <w:rFonts w:cs="Arial"/>
        </w:rPr>
        <w:t>BINARIO</w:t>
      </w:r>
      <w:r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C34E3E" w:rsidP="004B058C">
      <w:pPr>
        <w:rPr>
          <w:rFonts w:ascii="Tahoma" w:hAnsi="Tahoma" w:cs="Tahoma"/>
          <w:b/>
          <w:sz w:val="20"/>
          <w:szCs w:val="20"/>
          <w:lang w:val="es-MX"/>
        </w:rPr>
      </w:pPr>
      <w:r w:rsidRPr="00C34E3E">
        <w:rPr>
          <w:rFonts w:ascii="Tahoma" w:hAnsi="Tahoma" w:cs="Tahoma"/>
          <w:b/>
          <w:sz w:val="16"/>
          <w:szCs w:val="16"/>
          <w:lang w:val="es-MX"/>
        </w:rPr>
        <w:t>CONVOCATORIA A LA LICITACIÓN PÚBLICA NACIONAL NUMERO LO-009J2P002-N</w:t>
      </w:r>
      <w:r w:rsidR="00420516">
        <w:rPr>
          <w:rFonts w:ascii="Tahoma" w:hAnsi="Tahoma" w:cs="Tahoma"/>
          <w:b/>
          <w:sz w:val="16"/>
          <w:szCs w:val="16"/>
          <w:lang w:val="es-MX"/>
        </w:rPr>
        <w:t>1</w:t>
      </w:r>
      <w:r w:rsidRPr="00C34E3E">
        <w:rPr>
          <w:rFonts w:ascii="Tahoma" w:hAnsi="Tahoma" w:cs="Tahoma"/>
          <w:b/>
          <w:sz w:val="16"/>
          <w:szCs w:val="16"/>
          <w:lang w:val="es-MX"/>
        </w:rPr>
        <w:t>-201</w:t>
      </w:r>
      <w:r w:rsidR="00420516">
        <w:rPr>
          <w:rFonts w:ascii="Tahoma" w:hAnsi="Tahoma" w:cs="Tahoma"/>
          <w:b/>
          <w:sz w:val="16"/>
          <w:szCs w:val="16"/>
          <w:lang w:val="es-MX"/>
        </w:rPr>
        <w:t>3</w:t>
      </w:r>
      <w:r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3A5A67">
        <w:rPr>
          <w:rFonts w:ascii="Tahoma" w:hAnsi="Tahoma" w:cs="Tahoma"/>
          <w:b/>
          <w:sz w:val="20"/>
          <w:szCs w:val="20"/>
          <w:highlight w:val="yellow"/>
          <w:lang w:val="es-MX"/>
        </w:rPr>
        <w:t>CONSTRUCCION DE LA SEGUNA ETAPA DEL BARDEADO PERIMETRAL EN EL PARQUE INDUSTRIAL DEL PUERTO DE DOS BOCAS</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CC33D7" w:rsidRPr="004F4FE5">
        <w:rPr>
          <w:rFonts w:ascii="Tahoma" w:hAnsi="Tahoma" w:cs="Tahoma"/>
          <w:sz w:val="20"/>
          <w:lang w:val="es-MX"/>
        </w:rPr>
        <w:lastRenderedPageBreak/>
        <w:t>CONVOCATORIA A LA LICITACIÓN</w:t>
      </w:r>
      <w:r w:rsidR="00CC33D7">
        <w:rPr>
          <w:rFonts w:ascii="Tahoma" w:hAnsi="Tahoma" w:cs="Tahoma"/>
          <w:sz w:val="20"/>
          <w:lang w:val="es-MX"/>
        </w:rPr>
        <w:t xml:space="preserve"> </w:t>
      </w:r>
      <w:r w:rsidR="00CC33D7" w:rsidRPr="00CC33D7">
        <w:rPr>
          <w:rFonts w:ascii="Tahoma" w:hAnsi="Tahoma" w:cs="Tahoma"/>
          <w:sz w:val="20"/>
          <w:lang w:val="es-MX"/>
        </w:rPr>
        <w:t>PÚBLICA NACIONAL 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1E09B6">
        <w:rPr>
          <w:rFonts w:ascii="Tahoma" w:hAnsi="Tahoma" w:cs="Tahoma"/>
          <w:b/>
          <w:sz w:val="20"/>
          <w:szCs w:val="20"/>
          <w:highlight w:val="yellow"/>
          <w:lang w:val="es-MX"/>
        </w:rPr>
        <w:t>CONSTRUCCION DE LA SEGUNA ETAPA DEL BARDEADO PERIMETRAL EN EL PARQUE INDUSTRIAL DEL PUERTO DE DOS BOCAS</w:t>
      </w:r>
      <w:r w:rsidR="00C34E3E">
        <w:rPr>
          <w:rFonts w:ascii="Tahoma" w:hAnsi="Tahoma" w:cs="Tahoma"/>
          <w:b/>
          <w:sz w:val="20"/>
          <w:szCs w:val="20"/>
          <w:lang w:val="es-MX"/>
        </w:rPr>
        <w:t>.</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 xml:space="preserve">liberación de inversión </w:t>
      </w:r>
      <w:r w:rsidR="00420516" w:rsidRPr="005E275C">
        <w:rPr>
          <w:rFonts w:cs="Tahoma"/>
          <w:sz w:val="20"/>
          <w:szCs w:val="20"/>
          <w:lang w:val="es-MX"/>
        </w:rPr>
        <w:t>número</w:t>
      </w:r>
      <w:r w:rsidR="004567FD" w:rsidRPr="005E275C">
        <w:rPr>
          <w:rFonts w:cs="Tahoma"/>
          <w:sz w:val="20"/>
          <w:szCs w:val="20"/>
          <w:lang w:val="es-MX"/>
        </w:rPr>
        <w:t xml:space="preserve"> J2P/DG/OLI/00</w:t>
      </w:r>
      <w:r w:rsidR="00420516">
        <w:rPr>
          <w:rFonts w:cs="Tahoma"/>
          <w:sz w:val="20"/>
          <w:szCs w:val="20"/>
          <w:lang w:val="es-MX"/>
        </w:rPr>
        <w:t>1</w:t>
      </w:r>
      <w:r w:rsidR="004567FD" w:rsidRPr="005E275C">
        <w:rPr>
          <w:rFonts w:cs="Tahoma"/>
          <w:sz w:val="20"/>
          <w:szCs w:val="20"/>
          <w:lang w:val="es-MX"/>
        </w:rPr>
        <w:t>/201</w:t>
      </w:r>
      <w:r w:rsidR="00420516">
        <w:rPr>
          <w:rFonts w:cs="Tahoma"/>
          <w:sz w:val="20"/>
          <w:szCs w:val="20"/>
          <w:lang w:val="es-MX"/>
        </w:rPr>
        <w:t>3</w:t>
      </w:r>
      <w:r w:rsidR="004567FD" w:rsidRPr="005E275C">
        <w:rPr>
          <w:rFonts w:cs="Tahoma"/>
          <w:sz w:val="20"/>
          <w:szCs w:val="20"/>
          <w:lang w:val="es-MX"/>
        </w:rPr>
        <w:t xml:space="preserve"> del </w:t>
      </w:r>
      <w:r w:rsidR="005E275C" w:rsidRPr="005E275C">
        <w:rPr>
          <w:rFonts w:cs="Tahoma"/>
          <w:sz w:val="20"/>
          <w:szCs w:val="20"/>
          <w:lang w:val="es-MX"/>
        </w:rPr>
        <w:t>0</w:t>
      </w:r>
      <w:r w:rsidR="005E275C">
        <w:rPr>
          <w:rFonts w:cs="Tahoma"/>
          <w:sz w:val="20"/>
          <w:szCs w:val="20"/>
          <w:lang w:val="es-MX"/>
        </w:rPr>
        <w:t>2</w:t>
      </w:r>
      <w:r w:rsidR="004567FD" w:rsidRPr="005E275C">
        <w:rPr>
          <w:rFonts w:cs="Tahoma"/>
          <w:sz w:val="20"/>
          <w:szCs w:val="20"/>
          <w:lang w:val="es-MX"/>
        </w:rPr>
        <w:t xml:space="preserve"> de </w:t>
      </w:r>
      <w:r w:rsidR="00420516">
        <w:rPr>
          <w:rFonts w:cs="Tahoma"/>
          <w:sz w:val="20"/>
          <w:szCs w:val="20"/>
          <w:lang w:val="es-MX"/>
        </w:rPr>
        <w:t>Enero de 2013</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001DB2" w:rsidRPr="00C40FF7" w:rsidRDefault="00001DB2" w:rsidP="00001DB2">
      <w:pPr>
        <w:jc w:val="both"/>
        <w:rPr>
          <w:rFonts w:ascii="Arial" w:hAnsi="Arial" w:cs="Arial"/>
          <w:sz w:val="20"/>
          <w:szCs w:val="20"/>
          <w:lang w:val="es-ES_tradnl"/>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LICITACIÓN Pública Nacional Electrónica No. LO-009J2P002-N1-2013 para la </w:t>
      </w:r>
      <w:r w:rsidRPr="00C40FF7">
        <w:rPr>
          <w:rFonts w:ascii="Arial" w:hAnsi="Arial" w:cs="Arial"/>
          <w:bCs/>
          <w:sz w:val="20"/>
          <w:szCs w:val="20"/>
        </w:rPr>
        <w:t xml:space="preserve">contratación de la obra </w:t>
      </w:r>
      <w:r w:rsidRPr="00C40FF7">
        <w:rPr>
          <w:rFonts w:ascii="Arial" w:hAnsi="Arial" w:cs="Arial"/>
          <w:sz w:val="20"/>
          <w:szCs w:val="20"/>
          <w:lang w:val="es-MX"/>
        </w:rPr>
        <w:t>CONSTRUCCION DE LA SEGUN</w:t>
      </w:r>
      <w:r w:rsidR="00C40FF7" w:rsidRPr="00C40FF7">
        <w:rPr>
          <w:rFonts w:ascii="Arial" w:hAnsi="Arial" w:cs="Arial"/>
          <w:sz w:val="20"/>
          <w:szCs w:val="20"/>
          <w:lang w:val="es-MX"/>
        </w:rPr>
        <w:t>D</w:t>
      </w:r>
      <w:r w:rsidRPr="00C40FF7">
        <w:rPr>
          <w:rFonts w:ascii="Arial" w:hAnsi="Arial" w:cs="Arial"/>
          <w:sz w:val="20"/>
          <w:szCs w:val="20"/>
          <w:lang w:val="es-MX"/>
        </w:rPr>
        <w:t>A ETAPA DEL BARDEADO PERIMETRAL EN EL PARQUE INDUSTRIAL DEL PUERTO DE DOS BOCAS.</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1E09B6" w:rsidP="00562163">
            <w:pPr>
              <w:pStyle w:val="Ttulo1"/>
              <w:spacing w:before="60" w:after="60"/>
              <w:rPr>
                <w:b w:val="0"/>
                <w:bCs w:val="0"/>
                <w:highlight w:val="green"/>
                <w:lang w:val="es-ES"/>
              </w:rPr>
            </w:pPr>
            <w:r w:rsidRPr="00430658">
              <w:rPr>
                <w:b w:val="0"/>
                <w:bCs w:val="0"/>
                <w:highlight w:val="green"/>
                <w:lang w:val="es-ES"/>
              </w:rPr>
              <w:t>0</w:t>
            </w:r>
            <w:r w:rsidR="00562163" w:rsidRPr="00430658">
              <w:rPr>
                <w:b w:val="0"/>
                <w:bCs w:val="0"/>
                <w:highlight w:val="green"/>
                <w:lang w:val="es-ES"/>
              </w:rPr>
              <w:t>9</w:t>
            </w:r>
            <w:r w:rsidR="00165E99" w:rsidRPr="00430658">
              <w:rPr>
                <w:b w:val="0"/>
                <w:bCs w:val="0"/>
                <w:highlight w:val="green"/>
                <w:lang w:val="es-ES"/>
              </w:rPr>
              <w:t>/</w:t>
            </w:r>
            <w:r w:rsidR="00420516" w:rsidRPr="00430658">
              <w:rPr>
                <w:b w:val="0"/>
                <w:bCs w:val="0"/>
                <w:highlight w:val="green"/>
                <w:lang w:val="es-ES"/>
              </w:rPr>
              <w:t>MARZO/2013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EA7BD1" w:rsidP="00885383">
            <w:pPr>
              <w:spacing w:before="60" w:after="60"/>
              <w:jc w:val="both"/>
              <w:rPr>
                <w:rFonts w:ascii="Tahoma" w:hAnsi="Tahoma" w:cs="Tahoma"/>
                <w:sz w:val="20"/>
                <w:highlight w:val="yellow"/>
                <w:lang w:val="es-MX"/>
              </w:rPr>
            </w:pPr>
            <w:r w:rsidRPr="009D21D5">
              <w:rPr>
                <w:rFonts w:ascii="Tahoma" w:hAnsi="Tahoma" w:cs="Tahoma"/>
                <w:sz w:val="20"/>
                <w:lang w:val="es-MX"/>
              </w:rPr>
              <w:t>1</w:t>
            </w:r>
            <w:r w:rsidR="00885383" w:rsidRPr="009D21D5">
              <w:rPr>
                <w:rFonts w:ascii="Tahoma" w:hAnsi="Tahoma" w:cs="Tahoma"/>
                <w:sz w:val="20"/>
                <w:lang w:val="es-MX"/>
              </w:rPr>
              <w:t>0</w:t>
            </w:r>
            <w:r w:rsidRPr="009D21D5">
              <w:rPr>
                <w:rFonts w:ascii="Tahoma" w:hAnsi="Tahoma" w:cs="Tahoma"/>
                <w:sz w:val="20"/>
                <w:lang w:val="es-MX"/>
              </w:rPr>
              <w:t>:00 hrs.</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1E09B6" w:rsidP="001E09B6">
            <w:pPr>
              <w:spacing w:before="60" w:after="60"/>
              <w:jc w:val="both"/>
              <w:rPr>
                <w:rFonts w:ascii="Tahoma" w:hAnsi="Tahoma" w:cs="Tahoma"/>
                <w:sz w:val="18"/>
                <w:szCs w:val="18"/>
              </w:rPr>
            </w:pPr>
            <w:r>
              <w:rPr>
                <w:rFonts w:ascii="Tahoma" w:hAnsi="Tahoma" w:cs="Tahoma"/>
                <w:sz w:val="20"/>
                <w:szCs w:val="20"/>
              </w:rPr>
              <w:t>Concluir la construcción de la barda perimetral con block macizo de concreto liso tipo pesado; así como la sustitución de enrejado por el muro de block ya descrito.</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w:t>
      </w:r>
      <w:r w:rsidRPr="004F4FE5">
        <w:rPr>
          <w:rFonts w:ascii="Tahoma" w:hAnsi="Tahoma" w:cs="Tahoma"/>
          <w:b w:val="0"/>
          <w:sz w:val="20"/>
          <w:lang w:val="es-MX"/>
        </w:rPr>
        <w:lastRenderedPageBreak/>
        <w:t>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CC4D39" w:rsidRDefault="00BF66DE" w:rsidP="003F0B1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 la Convocatoria al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 </w:t>
      </w:r>
      <w:r w:rsidRPr="005F7909">
        <w:rPr>
          <w:rFonts w:ascii="Tahoma" w:hAnsi="Tahoma" w:cs="Tahoma"/>
          <w:sz w:val="20"/>
          <w:u w:val="single"/>
          <w:lang w:val="es-MX"/>
        </w:rPr>
        <w:t xml:space="preserve">día </w:t>
      </w:r>
      <w:r w:rsidR="00562163">
        <w:rPr>
          <w:rFonts w:ascii="Tahoma" w:hAnsi="Tahoma" w:cs="Tahoma"/>
          <w:sz w:val="20"/>
          <w:u w:val="single"/>
          <w:lang w:val="es-MX"/>
        </w:rPr>
        <w:t>13</w:t>
      </w:r>
      <w:r w:rsidR="00420516">
        <w:rPr>
          <w:rFonts w:ascii="Tahoma" w:hAnsi="Tahoma" w:cs="Tahoma"/>
          <w:sz w:val="20"/>
          <w:u w:val="single"/>
          <w:lang w:val="es-MX"/>
        </w:rPr>
        <w:t xml:space="preserve"> </w:t>
      </w:r>
      <w:r w:rsidR="003F0B1F">
        <w:rPr>
          <w:rFonts w:ascii="Tahoma" w:hAnsi="Tahoma" w:cs="Tahoma"/>
          <w:sz w:val="20"/>
          <w:u w:val="single"/>
          <w:lang w:val="es-MX"/>
        </w:rPr>
        <w:t>de</w:t>
      </w:r>
      <w:r w:rsidR="00420516">
        <w:rPr>
          <w:rFonts w:ascii="Tahoma" w:hAnsi="Tahoma" w:cs="Tahoma"/>
          <w:sz w:val="20"/>
          <w:u w:val="single"/>
          <w:lang w:val="es-MX"/>
        </w:rPr>
        <w:t xml:space="preserve"> Marzo de 2013</w:t>
      </w:r>
      <w:r w:rsidRPr="005F7909">
        <w:rPr>
          <w:rFonts w:ascii="Tahoma" w:hAnsi="Tahoma" w:cs="Tahoma"/>
          <w:sz w:val="20"/>
          <w:u w:val="single"/>
          <w:lang w:val="es-MX"/>
        </w:rPr>
        <w:t xml:space="preserve"> a las 1</w:t>
      </w:r>
      <w:r w:rsidR="001E09B6">
        <w:rPr>
          <w:rFonts w:ascii="Tahoma" w:hAnsi="Tahoma" w:cs="Tahoma"/>
          <w:sz w:val="20"/>
          <w:u w:val="single"/>
          <w:lang w:val="es-MX"/>
        </w:rPr>
        <w:t>1</w:t>
      </w:r>
      <w:r w:rsidRPr="005F7909">
        <w:rPr>
          <w:rFonts w:ascii="Tahoma" w:hAnsi="Tahoma" w:cs="Tahoma"/>
          <w:sz w:val="20"/>
          <w:u w:val="single"/>
          <w:lang w:val="es-MX"/>
        </w:rPr>
        <w:t xml:space="preserve">:00 </w:t>
      </w:r>
      <w:proofErr w:type="spellStart"/>
      <w:r w:rsidRPr="005F7909">
        <w:rPr>
          <w:rFonts w:ascii="Tahoma" w:hAnsi="Tahoma" w:cs="Tahoma"/>
          <w:sz w:val="20"/>
          <w:u w:val="single"/>
          <w:lang w:val="es-MX"/>
        </w:rPr>
        <w:t>hrs</w:t>
      </w:r>
      <w:proofErr w:type="spellEnd"/>
      <w:r w:rsidRPr="005F7909">
        <w:rPr>
          <w:rFonts w:ascii="Tahoma" w:hAnsi="Tahoma" w:cs="Tahoma"/>
          <w:b w:val="0"/>
          <w:sz w:val="20"/>
          <w:lang w:val="es-MX"/>
        </w:rPr>
        <w:t>, en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efectuará solo a través de Compranet sin la presencia de los licitantes en dicho acto.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2B0903">
        <w:rPr>
          <w:rFonts w:ascii="Tahoma" w:hAnsi="Tahoma" w:cs="Tahoma"/>
          <w:b/>
          <w:sz w:val="20"/>
          <w:lang w:val="es-MX"/>
        </w:rPr>
        <w:t xml:space="preserve">Las solicitudes de aclaración, </w:t>
      </w:r>
      <w:r w:rsidR="00420516" w:rsidRPr="002B0903">
        <w:rPr>
          <w:rFonts w:ascii="Tahoma" w:hAnsi="Tahoma" w:cs="Tahoma"/>
          <w:b/>
          <w:sz w:val="20"/>
          <w:lang w:val="es-MX"/>
        </w:rPr>
        <w:t>deber</w:t>
      </w:r>
      <w:r w:rsidRPr="002B0903">
        <w:rPr>
          <w:rFonts w:ascii="Tahoma" w:hAnsi="Tahoma" w:cs="Tahoma"/>
          <w:b/>
          <w:sz w:val="20"/>
          <w:lang w:val="es-MX"/>
        </w:rPr>
        <w:t>án e</w:t>
      </w:r>
      <w:r w:rsidR="00420516" w:rsidRPr="002B0903">
        <w:rPr>
          <w:rFonts w:ascii="Tahoma" w:hAnsi="Tahoma" w:cs="Tahoma"/>
          <w:b/>
          <w:sz w:val="20"/>
          <w:lang w:val="es-MX"/>
        </w:rPr>
        <w:t>mitirse mediante</w:t>
      </w:r>
      <w:r w:rsidRPr="002B0903">
        <w:rPr>
          <w:rFonts w:ascii="Tahoma" w:hAnsi="Tahoma" w:cs="Tahoma"/>
          <w:b/>
          <w:sz w:val="20"/>
          <w:lang w:val="es-MX"/>
        </w:rPr>
        <w:t xml:space="preserve"> COMPRANET </w:t>
      </w:r>
      <w:hyperlink r:id="rId10" w:history="1">
        <w:r w:rsidRPr="002B0903">
          <w:rPr>
            <w:rFonts w:ascii="Tahoma" w:hAnsi="Tahoma" w:cs="Tahoma"/>
            <w:b/>
            <w:sz w:val="20"/>
            <w:lang w:val="es-MX"/>
          </w:rPr>
          <w:t>www.compranet.gob.mx</w:t>
        </w:r>
      </w:hyperlink>
      <w:r w:rsidRPr="002B0903">
        <w:rPr>
          <w:rFonts w:ascii="Tahoma" w:hAnsi="Tahoma" w:cs="Tahoma"/>
          <w:b/>
          <w:sz w:val="20"/>
          <w:lang w:val="es-MX"/>
        </w:rPr>
        <w:t>, a más tardar veinticuatro horas antes de la fecha y hora en que se vaya a realizar la citada junta, acompañadas del escrito señalado en el párrafo anterior.</w:t>
      </w:r>
      <w:r w:rsidR="0061775B">
        <w:rPr>
          <w:rFonts w:ascii="Tahoma" w:hAnsi="Tahoma" w:cs="Tahoma"/>
          <w:b/>
          <w:sz w:val="20"/>
          <w:lang w:val="es-MX"/>
        </w:rPr>
        <w:t xml:space="preserve"> Este periodo será del 05</w:t>
      </w:r>
      <w:r w:rsidR="00CC4D39">
        <w:rPr>
          <w:rFonts w:ascii="Tahoma" w:hAnsi="Tahoma" w:cs="Tahoma"/>
          <w:b/>
          <w:sz w:val="20"/>
          <w:lang w:val="es-MX"/>
        </w:rPr>
        <w:t xml:space="preserve"> de marzo de 2013</w:t>
      </w:r>
      <w:r w:rsidR="0061775B">
        <w:rPr>
          <w:rFonts w:ascii="Tahoma" w:hAnsi="Tahoma" w:cs="Tahoma"/>
          <w:b/>
          <w:sz w:val="20"/>
          <w:lang w:val="es-MX"/>
        </w:rPr>
        <w:t xml:space="preserve"> al 12 de marzo de 2013 a las 11.00 </w:t>
      </w:r>
      <w:proofErr w:type="spellStart"/>
      <w:r w:rsidR="0061775B">
        <w:rPr>
          <w:rFonts w:ascii="Tahoma" w:hAnsi="Tahoma" w:cs="Tahoma"/>
          <w:b/>
          <w:sz w:val="20"/>
          <w:lang w:val="es-MX"/>
        </w:rPr>
        <w:t>hrs</w:t>
      </w:r>
      <w:proofErr w:type="spellEnd"/>
      <w:r w:rsidR="0061775B">
        <w:rPr>
          <w:rFonts w:ascii="Tahoma" w:hAnsi="Tahoma" w:cs="Tahoma"/>
          <w:b/>
          <w:sz w:val="20"/>
          <w:lang w:val="es-MX"/>
        </w:rPr>
        <w:t>.</w:t>
      </w:r>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2B0903" w:rsidP="00BF66DE">
      <w:pPr>
        <w:pStyle w:val="Textoindependiente"/>
        <w:jc w:val="both"/>
        <w:rPr>
          <w:rFonts w:ascii="Tahoma" w:hAnsi="Tahoma" w:cs="Tahoma"/>
          <w:b w:val="0"/>
          <w:sz w:val="20"/>
          <w:lang w:val="es-MX"/>
        </w:rPr>
      </w:pPr>
      <w:r w:rsidRPr="009D21D5">
        <w:rPr>
          <w:rFonts w:ascii="Tahoma" w:hAnsi="Tahoma" w:cs="Tahoma"/>
          <w:b w:val="0"/>
          <w:sz w:val="20"/>
          <w:lang w:val="es-MX"/>
        </w:rPr>
        <w:t>Por ser una licitación del tipo electrónica; no es necesaria l</w:t>
      </w:r>
      <w:r w:rsidR="00BF66DE" w:rsidRPr="009D21D5">
        <w:rPr>
          <w:rFonts w:ascii="Tahoma" w:hAnsi="Tahoma" w:cs="Tahoma"/>
          <w:b w:val="0"/>
          <w:sz w:val="20"/>
          <w:lang w:val="es-MX"/>
        </w:rPr>
        <w:t>a asistencia de los interesados a la(s) junta(s) de aclaraciones. Cualquier modificación en la Convocatoria a la Licitación Pública, incluyendo las que resulten de la o las juntas de aclaraciones, formará parte de la misma y deberá ser considerada por los licitantes en la elaboración de su proposición.</w:t>
      </w:r>
    </w:p>
    <w:p w:rsidR="00BF66DE" w:rsidRPr="004F4FE5" w:rsidRDefault="00BF66DE" w:rsidP="00BF66DE">
      <w:pPr>
        <w:ind w:right="51"/>
        <w:jc w:val="both"/>
        <w:rPr>
          <w:rFonts w:ascii="Arial" w:hAnsi="Arial" w:cs="Arial"/>
          <w:b/>
          <w:bCs/>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lastRenderedPageBreak/>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2B0903" w:rsidRDefault="00562163" w:rsidP="0014710D">
            <w:pPr>
              <w:spacing w:before="60" w:after="60"/>
              <w:jc w:val="both"/>
              <w:rPr>
                <w:rFonts w:ascii="Tahoma" w:hAnsi="Tahoma" w:cs="Tahoma"/>
                <w:b/>
                <w:sz w:val="20"/>
                <w:highlight w:val="green"/>
                <w:lang w:val="es-MX"/>
              </w:rPr>
            </w:pPr>
            <w:r>
              <w:rPr>
                <w:rFonts w:ascii="Tahoma" w:hAnsi="Tahoma" w:cs="Tahoma"/>
                <w:b/>
                <w:sz w:val="20"/>
                <w:highlight w:val="green"/>
              </w:rPr>
              <w:t>20</w:t>
            </w:r>
            <w:r w:rsidR="002B0903" w:rsidRPr="002B0903">
              <w:rPr>
                <w:rFonts w:ascii="Tahoma" w:hAnsi="Tahoma" w:cs="Tahoma"/>
                <w:b/>
                <w:sz w:val="20"/>
                <w:highlight w:val="green"/>
              </w:rPr>
              <w:t xml:space="preserve"> de marzo de 2013</w:t>
            </w:r>
            <w:r w:rsidR="004A5CA3" w:rsidRPr="002B0903">
              <w:rPr>
                <w:rFonts w:ascii="Tahoma" w:hAnsi="Tahoma" w:cs="Tahoma"/>
                <w:b/>
                <w:sz w:val="20"/>
                <w:highlight w:val="gree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3F0B1F" w:rsidP="00FE35D9">
            <w:pPr>
              <w:spacing w:before="60" w:after="60"/>
              <w:jc w:val="both"/>
              <w:rPr>
                <w:rFonts w:ascii="Tahoma" w:hAnsi="Tahoma" w:cs="Tahoma"/>
                <w:sz w:val="20"/>
                <w:szCs w:val="20"/>
                <w:lang w:val="es-MX"/>
              </w:rPr>
            </w:pPr>
            <w:r>
              <w:rPr>
                <w:rFonts w:ascii="Tahoma" w:hAnsi="Tahoma" w:cs="Tahoma"/>
                <w:b/>
                <w:sz w:val="20"/>
                <w:lang w:val="es-MX"/>
              </w:rPr>
              <w:t>En el domicilio descrito en el numeral 1 de estas bases</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9D21D5" w:rsidRDefault="004A5CA3" w:rsidP="00FE35D9">
            <w:pPr>
              <w:pStyle w:val="Ttulo9"/>
              <w:rPr>
                <w:highlight w:val="green"/>
              </w:rPr>
            </w:pPr>
            <w:r w:rsidRPr="009D21D5">
              <w:rPr>
                <w:highlight w:val="green"/>
              </w:rPr>
              <w:t>Inicio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562163"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16</w:t>
            </w:r>
            <w:r w:rsidR="009D21D5" w:rsidRPr="009D21D5">
              <w:rPr>
                <w:rFonts w:ascii="Tahoma" w:hAnsi="Tahoma" w:cs="Tahoma"/>
                <w:b/>
                <w:bCs/>
                <w:sz w:val="20"/>
                <w:highlight w:val="green"/>
                <w:lang w:val="es-MX"/>
              </w:rPr>
              <w:t xml:space="preserve"> de Abril de 2013.</w:t>
            </w:r>
          </w:p>
        </w:tc>
      </w:tr>
      <w:tr w:rsidR="004A5CA3" w:rsidRPr="004F4FE5" w:rsidTr="004F4FE5">
        <w:tc>
          <w:tcPr>
            <w:tcW w:w="1839" w:type="dxa"/>
            <w:shd w:val="clear" w:color="auto" w:fill="auto"/>
          </w:tcPr>
          <w:p w:rsidR="004A5CA3" w:rsidRPr="009D21D5" w:rsidRDefault="004A5CA3" w:rsidP="00FE35D9">
            <w:pPr>
              <w:spacing w:before="60" w:after="60"/>
              <w:rPr>
                <w:rFonts w:ascii="Tahoma" w:hAnsi="Tahoma" w:cs="Tahoma"/>
                <w:b/>
                <w:sz w:val="20"/>
                <w:highlight w:val="green"/>
                <w:lang w:val="es-MX"/>
              </w:rPr>
            </w:pPr>
            <w:r w:rsidRPr="009D21D5">
              <w:rPr>
                <w:rFonts w:ascii="Tahoma" w:hAnsi="Tahoma" w:cs="Tahoma"/>
                <w:b/>
                <w:sz w:val="20"/>
                <w:highlight w:val="green"/>
                <w:lang w:val="es-MX"/>
              </w:rPr>
              <w:t>Término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562163"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07 de Agosto</w:t>
            </w:r>
            <w:r w:rsidR="009D21D5" w:rsidRPr="009D21D5">
              <w:rPr>
                <w:rFonts w:ascii="Tahoma" w:hAnsi="Tahoma" w:cs="Tahoma"/>
                <w:b/>
                <w:bCs/>
                <w:sz w:val="20"/>
                <w:highlight w:val="green"/>
                <w:lang w:val="es-MX"/>
              </w:rPr>
              <w:t xml:space="preserve"> de 2013</w:t>
            </w:r>
            <w:r w:rsidR="00A53322"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9D21D5" w:rsidP="003108E6">
            <w:pPr>
              <w:spacing w:before="60" w:after="60"/>
              <w:jc w:val="both"/>
              <w:rPr>
                <w:rFonts w:ascii="Tahoma" w:hAnsi="Tahoma" w:cs="Tahoma"/>
                <w:sz w:val="20"/>
                <w:lang w:val="es-MX"/>
              </w:rPr>
            </w:pPr>
            <w:r w:rsidRPr="009D21D5">
              <w:rPr>
                <w:rFonts w:ascii="Tahoma" w:hAnsi="Tahoma" w:cs="Tahoma"/>
                <w:b/>
                <w:bCs/>
                <w:sz w:val="20"/>
                <w:highlight w:val="green"/>
              </w:rPr>
              <w:t>115</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lastRenderedPageBreak/>
        <w:t>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30658" w:rsidRPr="00430658" w:rsidRDefault="00430658" w:rsidP="00430658">
      <w:pPr>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DIST-04</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Personal con discapacidad</w:t>
            </w:r>
            <w:r w:rsidRPr="005F7909">
              <w:rPr>
                <w:rFonts w:ascii="Tahoma" w:hAnsi="Tahoma" w:cs="Tahoma"/>
                <w:sz w:val="18"/>
                <w:szCs w:val="18"/>
              </w:rPr>
              <w:t xml:space="preserve">.- </w:t>
            </w:r>
            <w:r w:rsidR="007502DF" w:rsidRPr="005F7909">
              <w:rPr>
                <w:rFonts w:ascii="Tahoma" w:hAnsi="Tahoma" w:cs="Tahoma"/>
                <w:sz w:val="18"/>
                <w:szCs w:val="18"/>
              </w:rPr>
              <w:t xml:space="preserve">En su caso, escrito mediante el cual los participantes manifiesten que en su planta laboral cuentan cuando menos con un cinco por ciento de personas con discapacidad, cuyas altas en el Instituto Mexicano del Seguro Social se hayan dado con seis meses </w:t>
            </w:r>
            <w:r w:rsidR="007502DF" w:rsidRPr="005F7909">
              <w:rPr>
                <w:rFonts w:ascii="Tahoma" w:hAnsi="Tahoma" w:cs="Tahoma"/>
                <w:sz w:val="18"/>
                <w:szCs w:val="18"/>
              </w:rPr>
              <w:lastRenderedPageBreak/>
              <w:t xml:space="preserve">de antelación a la fecha prevista para firma del contrato respectivo, obligándose a presentar en original y copia para cotejo las altas mencionadas, a requerimiento de la dependencia o entidad convocante, en caso de empate técnico. </w:t>
            </w:r>
            <w:r w:rsidR="007502DF" w:rsidRPr="005F7909">
              <w:rPr>
                <w:rFonts w:ascii="Tahoma" w:hAnsi="Tahoma" w:cs="Tahoma"/>
                <w:b/>
                <w:sz w:val="18"/>
                <w:szCs w:val="18"/>
              </w:rPr>
              <w:t xml:space="preserve">La falta de presentación de este escrito no será causa de </w:t>
            </w:r>
            <w:proofErr w:type="spellStart"/>
            <w:r w:rsidR="007502DF" w:rsidRPr="005F7909">
              <w:rPr>
                <w:rFonts w:ascii="Tahoma" w:hAnsi="Tahoma" w:cs="Tahoma"/>
                <w:b/>
                <w:sz w:val="18"/>
                <w:szCs w:val="18"/>
              </w:rPr>
              <w:t>desechamiento</w:t>
            </w:r>
            <w:proofErr w:type="spellEnd"/>
            <w:r w:rsidR="007502DF" w:rsidRPr="005F7909">
              <w:rPr>
                <w:rFonts w:ascii="Tahoma" w:hAnsi="Tahoma" w:cs="Tahoma"/>
                <w:b/>
                <w:sz w:val="18"/>
                <w:szCs w:val="18"/>
              </w:rPr>
              <w:t xml:space="preserve"> de la proposición. Se anexa formato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E801E4" w:rsidRDefault="00F771D4" w:rsidP="007502DF">
            <w:pPr>
              <w:jc w:val="both"/>
              <w:rPr>
                <w:rFonts w:ascii="Tahoma" w:hAnsi="Tahoma" w:cs="Tahoma"/>
                <w:sz w:val="18"/>
                <w:szCs w:val="18"/>
                <w:lang w:val="es-MX"/>
              </w:rPr>
            </w:pP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7502DF">
            <w:pPr>
              <w:jc w:val="both"/>
              <w:rPr>
                <w:rFonts w:ascii="Tahoma" w:hAnsi="Tahoma" w:cs="Tahoma"/>
                <w:sz w:val="18"/>
                <w:szCs w:val="18"/>
              </w:rPr>
            </w:pPr>
            <w:r w:rsidRPr="005F7909">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5F7909" w:rsidRDefault="00F771D4" w:rsidP="00F771D4">
            <w:pPr>
              <w:jc w:val="both"/>
              <w:rPr>
                <w:rFonts w:ascii="Tahoma" w:hAnsi="Tahoma" w:cs="Tahoma"/>
                <w:sz w:val="20"/>
                <w:szCs w:val="20"/>
                <w:lang w:val="es-MX"/>
              </w:rPr>
            </w:pP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lastRenderedPageBreak/>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AF2D32" w:rsidTr="007502DF">
        <w:tc>
          <w:tcPr>
            <w:tcW w:w="1242" w:type="dxa"/>
          </w:tcPr>
          <w:p w:rsidR="00AF2D32" w:rsidRDefault="00AF2D32" w:rsidP="00F06BFB">
            <w:pPr>
              <w:jc w:val="center"/>
              <w:rPr>
                <w:rFonts w:ascii="Arial Narrow" w:hAnsi="Arial Narrow"/>
                <w:sz w:val="20"/>
                <w:szCs w:val="20"/>
              </w:rPr>
            </w:pPr>
            <w:r>
              <w:rPr>
                <w:rFonts w:ascii="Arial Narrow" w:hAnsi="Arial Narrow"/>
                <w:sz w:val="20"/>
                <w:szCs w:val="20"/>
              </w:rPr>
              <w:t>DIST-14</w:t>
            </w:r>
          </w:p>
        </w:tc>
        <w:tc>
          <w:tcPr>
            <w:tcW w:w="8305" w:type="dxa"/>
          </w:tcPr>
          <w:p w:rsidR="00AF2D32" w:rsidRPr="00671F64" w:rsidRDefault="00AF2D32" w:rsidP="00F06BFB">
            <w:pPr>
              <w:autoSpaceDE w:val="0"/>
              <w:autoSpaceDN w:val="0"/>
              <w:adjustRightInd w:val="0"/>
              <w:ind w:left="426" w:hanging="426"/>
              <w:jc w:val="both"/>
              <w:rPr>
                <w:rFonts w:ascii="Tahoma" w:hAnsi="Tahoma" w:cs="Tahoma"/>
                <w:b/>
                <w:sz w:val="18"/>
                <w:szCs w:val="18"/>
              </w:rPr>
            </w:pPr>
            <w:r w:rsidRPr="00AC5035">
              <w:rPr>
                <w:rFonts w:ascii="Tahoma" w:hAnsi="Tahoma" w:cs="Tahoma"/>
                <w:b/>
                <w:sz w:val="18"/>
                <w:szCs w:val="18"/>
              </w:rPr>
              <w:t>Estudios planes o programas.-</w:t>
            </w:r>
            <w:r>
              <w:rPr>
                <w:rFonts w:ascii="Tahoma" w:hAnsi="Tahoma" w:cs="Tahoma"/>
                <w:sz w:val="18"/>
                <w:szCs w:val="18"/>
              </w:rPr>
              <w:t xml:space="preserve"> </w:t>
            </w:r>
            <w:r w:rsidRPr="00465801">
              <w:rPr>
                <w:rFonts w:ascii="Tahoma" w:hAnsi="Tahoma" w:cs="Tahoma"/>
                <w:sz w:val="18"/>
                <w:szCs w:val="18"/>
              </w:rPr>
              <w:t>En su caso, el que contenga la manifestación a que se refiere la fracción XV del artículo 31 de la Ley;</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3A2558" w:rsidRDefault="003A2558" w:rsidP="00414D0A">
      <w:pPr>
        <w:jc w:val="both"/>
        <w:rPr>
          <w:rFonts w:ascii="Tahoma" w:hAnsi="Tahoma" w:cs="Tahoma"/>
          <w:sz w:val="20"/>
          <w:lang w:val="es-MX"/>
        </w:rPr>
      </w:pPr>
    </w:p>
    <w:p w:rsidR="00F662C3" w:rsidRPr="00B3455E" w:rsidRDefault="00F662C3" w:rsidP="00FB79BB">
      <w:pPr>
        <w:numPr>
          <w:ilvl w:val="0"/>
          <w:numId w:val="3"/>
        </w:numPr>
        <w:tabs>
          <w:tab w:val="clear" w:pos="720"/>
          <w:tab w:val="num" w:pos="567"/>
        </w:tabs>
        <w:ind w:left="567" w:hanging="567"/>
        <w:jc w:val="both"/>
        <w:rPr>
          <w:rFonts w:ascii="Tahoma" w:hAnsi="Tahoma" w:cs="Tahoma"/>
          <w:sz w:val="20"/>
          <w:lang w:val="es-MX"/>
        </w:rPr>
      </w:pPr>
      <w:r w:rsidRPr="00B3455E">
        <w:rPr>
          <w:rFonts w:ascii="Tahoma" w:hAnsi="Tahoma" w:cs="Tahoma"/>
          <w:sz w:val="20"/>
          <w:lang w:val="es-MX"/>
        </w:rPr>
        <w:t>Estados financieros dictaminados (por auditor externo y acreditado por la Secretaria de Hacienda y Crédito Público, anexado copia de su acreditación y de su cedula profesional) de los dos años anteriores</w:t>
      </w:r>
      <w:r w:rsidR="003A2558" w:rsidRPr="00B3455E">
        <w:rPr>
          <w:rFonts w:ascii="Tahoma" w:hAnsi="Tahoma" w:cs="Tahoma"/>
          <w:sz w:val="20"/>
          <w:lang w:val="es-MX"/>
        </w:rPr>
        <w:t>.</w:t>
      </w:r>
    </w:p>
    <w:p w:rsidR="00F662C3" w:rsidRDefault="00F662C3" w:rsidP="00F662C3">
      <w:pPr>
        <w:ind w:left="720"/>
        <w:jc w:val="both"/>
        <w:rPr>
          <w:rFonts w:ascii="Tahoma" w:hAnsi="Tahoma" w:cs="Tahoma"/>
          <w:sz w:val="20"/>
          <w:lang w:val="es-MX"/>
        </w:rPr>
      </w:pPr>
    </w:p>
    <w:p w:rsidR="00F662C3" w:rsidRPr="00EB67DE" w:rsidRDefault="00F662C3" w:rsidP="00FB79BB">
      <w:pPr>
        <w:numPr>
          <w:ilvl w:val="0"/>
          <w:numId w:val="3"/>
        </w:numPr>
        <w:tabs>
          <w:tab w:val="clear" w:pos="720"/>
          <w:tab w:val="num" w:pos="567"/>
        </w:tabs>
        <w:ind w:left="567" w:hanging="567"/>
        <w:jc w:val="both"/>
        <w:rPr>
          <w:rFonts w:ascii="Tahoma" w:hAnsi="Tahoma" w:cs="Tahoma"/>
          <w:sz w:val="20"/>
          <w:highlight w:val="yellow"/>
          <w:lang w:val="es-MX"/>
        </w:rPr>
      </w:pPr>
      <w:r>
        <w:rPr>
          <w:rFonts w:ascii="Tahoma" w:hAnsi="Tahoma" w:cs="Tahoma"/>
          <w:sz w:val="20"/>
          <w:lang w:val="es-MX"/>
        </w:rPr>
        <w:t>C</w:t>
      </w:r>
      <w:r w:rsidRPr="00F662C3">
        <w:rPr>
          <w:rFonts w:ascii="Tahoma" w:hAnsi="Tahoma" w:cs="Tahoma"/>
          <w:sz w:val="20"/>
          <w:lang w:val="es-MX"/>
        </w:rPr>
        <w:t xml:space="preserve">omparativo de razones financieras básicas, salvo en el caso de empresas de reciente creación, las cuales deberán presentar los más actualizados a la fecha de presentación de la proposición. Los rubros que deben integrar como mínimo el comparativo de razones financieras básicas al cierre de los ejercicios </w:t>
      </w:r>
      <w:r w:rsidRPr="00EB67DE">
        <w:rPr>
          <w:rFonts w:ascii="Tahoma" w:hAnsi="Tahoma" w:cs="Tahoma"/>
          <w:sz w:val="20"/>
          <w:highlight w:val="yellow"/>
          <w:lang w:val="es-MX"/>
        </w:rPr>
        <w:t>201</w:t>
      </w:r>
      <w:r w:rsidR="00725581">
        <w:rPr>
          <w:rFonts w:ascii="Tahoma" w:hAnsi="Tahoma" w:cs="Tahoma"/>
          <w:sz w:val="20"/>
          <w:highlight w:val="yellow"/>
          <w:lang w:val="es-MX"/>
        </w:rPr>
        <w:t>1</w:t>
      </w:r>
      <w:r w:rsidRPr="00EB67DE">
        <w:rPr>
          <w:rFonts w:ascii="Tahoma" w:hAnsi="Tahoma" w:cs="Tahoma"/>
          <w:sz w:val="20"/>
          <w:highlight w:val="yellow"/>
          <w:lang w:val="es-MX"/>
        </w:rPr>
        <w:t xml:space="preserve"> y 201</w:t>
      </w:r>
      <w:r w:rsidR="00725581">
        <w:rPr>
          <w:rFonts w:ascii="Tahoma" w:hAnsi="Tahoma" w:cs="Tahoma"/>
          <w:sz w:val="20"/>
          <w:highlight w:val="yellow"/>
          <w:lang w:val="es-MX"/>
        </w:rPr>
        <w:t>2</w:t>
      </w:r>
      <w:r w:rsidRPr="00EB67DE">
        <w:rPr>
          <w:rFonts w:ascii="Tahoma" w:hAnsi="Tahoma" w:cs="Tahoma"/>
          <w:sz w:val="20"/>
          <w:highlight w:val="yellow"/>
          <w:lang w:val="es-MX"/>
        </w:rPr>
        <w:t xml:space="preserve"> son:</w:t>
      </w:r>
      <w:r w:rsidR="00847CF7" w:rsidRPr="00EB67DE">
        <w:rPr>
          <w:rFonts w:ascii="Tahoma" w:hAnsi="Tahoma" w:cs="Tahoma"/>
          <w:sz w:val="20"/>
          <w:highlight w:val="yellow"/>
          <w:lang w:val="es-MX"/>
        </w:rPr>
        <w:t xml:space="preserve"> </w:t>
      </w:r>
    </w:p>
    <w:p w:rsidR="00F662C3" w:rsidRPr="004F4FE5" w:rsidRDefault="00F662C3" w:rsidP="00F662C3">
      <w:pPr>
        <w:ind w:left="720"/>
        <w:jc w:val="both"/>
        <w:rPr>
          <w:rFonts w:ascii="Tahoma" w:hAnsi="Tahoma" w:cs="Tahoma"/>
          <w:sz w:val="20"/>
          <w:lang w:val="es-MX"/>
        </w:rPr>
      </w:pPr>
    </w:p>
    <w:p w:rsidR="00F662C3" w:rsidRPr="00EB67DE" w:rsidRDefault="00F662C3" w:rsidP="00F662C3">
      <w:pPr>
        <w:numPr>
          <w:ilvl w:val="1"/>
          <w:numId w:val="3"/>
        </w:numPr>
        <w:ind w:right="81"/>
        <w:jc w:val="both"/>
        <w:rPr>
          <w:rFonts w:ascii="Tahoma" w:hAnsi="Tahoma" w:cs="Tahoma"/>
          <w:sz w:val="20"/>
          <w:szCs w:val="20"/>
          <w:highlight w:val="yellow"/>
        </w:rPr>
      </w:pPr>
      <w:r w:rsidRPr="00EB67DE">
        <w:rPr>
          <w:rFonts w:ascii="Tahoma" w:hAnsi="Tahoma" w:cs="Tahoma"/>
          <w:sz w:val="20"/>
          <w:szCs w:val="20"/>
          <w:highlight w:val="yellow"/>
        </w:rPr>
        <w:t>Capital neto de trabajo(CNT)=activo circulante(AC)-pasivo circulante(PC)</w:t>
      </w:r>
    </w:p>
    <w:p w:rsidR="00F662C3" w:rsidRPr="00EB67DE" w:rsidRDefault="00F662C3" w:rsidP="00F662C3">
      <w:pPr>
        <w:numPr>
          <w:ilvl w:val="1"/>
          <w:numId w:val="3"/>
        </w:numPr>
        <w:ind w:right="81"/>
        <w:jc w:val="both"/>
        <w:rPr>
          <w:rFonts w:ascii="Tahoma" w:hAnsi="Tahoma" w:cs="Tahoma"/>
          <w:sz w:val="20"/>
          <w:szCs w:val="20"/>
          <w:highlight w:val="yellow"/>
        </w:rPr>
      </w:pPr>
      <w:r w:rsidRPr="00EB67DE">
        <w:rPr>
          <w:rFonts w:ascii="Tahoma" w:hAnsi="Tahoma" w:cs="Tahoma"/>
          <w:sz w:val="20"/>
          <w:szCs w:val="20"/>
          <w:highlight w:val="yellow"/>
        </w:rPr>
        <w:t>Liquidez=activo circulante(AC)/pasivo circulante(PC)</w:t>
      </w:r>
    </w:p>
    <w:p w:rsidR="00F662C3" w:rsidRPr="00EB67DE" w:rsidRDefault="00F662C3" w:rsidP="00F662C3">
      <w:pPr>
        <w:numPr>
          <w:ilvl w:val="1"/>
          <w:numId w:val="3"/>
        </w:numPr>
        <w:ind w:right="79"/>
        <w:jc w:val="both"/>
        <w:rPr>
          <w:rFonts w:ascii="Tahoma" w:hAnsi="Tahoma" w:cs="Tahoma"/>
          <w:sz w:val="20"/>
          <w:szCs w:val="20"/>
          <w:highlight w:val="yellow"/>
        </w:rPr>
      </w:pPr>
      <w:r w:rsidRPr="00EB67DE">
        <w:rPr>
          <w:rFonts w:ascii="Tahoma" w:hAnsi="Tahoma" w:cs="Tahoma"/>
          <w:sz w:val="20"/>
          <w:szCs w:val="20"/>
          <w:highlight w:val="yellow"/>
        </w:rPr>
        <w:t>Grado de endeudamiento= pasivo total(PT)/activo total(AT)</w:t>
      </w:r>
    </w:p>
    <w:p w:rsidR="00F662C3" w:rsidRPr="00EB67DE" w:rsidRDefault="00F662C3" w:rsidP="00F662C3">
      <w:pPr>
        <w:numPr>
          <w:ilvl w:val="1"/>
          <w:numId w:val="3"/>
        </w:numPr>
        <w:ind w:right="79"/>
        <w:jc w:val="both"/>
        <w:rPr>
          <w:rFonts w:ascii="Tahoma" w:hAnsi="Tahoma" w:cs="Tahoma"/>
          <w:sz w:val="20"/>
          <w:szCs w:val="20"/>
          <w:highlight w:val="yellow"/>
        </w:rPr>
      </w:pPr>
      <w:r w:rsidRPr="00EB67DE">
        <w:rPr>
          <w:rFonts w:ascii="Tahoma" w:hAnsi="Tahoma" w:cs="Tahoma"/>
          <w:sz w:val="20"/>
          <w:szCs w:val="20"/>
          <w:highlight w:val="yellow"/>
        </w:rPr>
        <w:t>Rentabilidad=utilidad neta/capital contable</w:t>
      </w:r>
    </w:p>
    <w:p w:rsidR="00F662C3" w:rsidRPr="004F4FE5" w:rsidRDefault="00F662C3" w:rsidP="00F662C3">
      <w:pPr>
        <w:ind w:left="567" w:hanging="567"/>
        <w:jc w:val="both"/>
        <w:rPr>
          <w:rFonts w:cs="Arial"/>
          <w:sz w:val="20"/>
          <w:szCs w:val="20"/>
          <w:lang w:val="es-MX"/>
        </w:rPr>
      </w:pPr>
    </w:p>
    <w:p w:rsidR="00FB79BB" w:rsidRPr="004F4FE5" w:rsidRDefault="00FB79BB" w:rsidP="00FB79BB">
      <w:pPr>
        <w:jc w:val="both"/>
        <w:rPr>
          <w:rFonts w:ascii="Tahoma" w:hAnsi="Tahoma" w:cs="Tahoma"/>
          <w:sz w:val="20"/>
          <w:szCs w:val="20"/>
          <w:lang w:val="es-MX"/>
        </w:rPr>
      </w:pPr>
      <w:r w:rsidRPr="004F4FE5">
        <w:rPr>
          <w:rFonts w:ascii="Tahoma" w:hAnsi="Tahoma" w:cs="Tahoma"/>
          <w:sz w:val="20"/>
          <w:szCs w:val="20"/>
          <w:lang w:val="es-MX"/>
        </w:rPr>
        <w:t>Los parámetros financieros que EL LICITANTE deberá de cumplir, para demostrar su capacidad de recursos económicos, son los siguientes:</w:t>
      </w:r>
    </w:p>
    <w:p w:rsidR="00FB79BB" w:rsidRPr="004F4FE5" w:rsidRDefault="00FB79BB" w:rsidP="00FB79BB">
      <w:pPr>
        <w:ind w:left="567" w:hanging="567"/>
        <w:jc w:val="both"/>
        <w:rPr>
          <w:rFonts w:ascii="Tahoma" w:hAnsi="Tahoma" w:cs="Tahoma"/>
          <w:sz w:val="20"/>
          <w:szCs w:val="20"/>
          <w:lang w:val="es-MX"/>
        </w:rPr>
      </w:pPr>
    </w:p>
    <w:p w:rsidR="00FB79BB" w:rsidRPr="004F4FE5" w:rsidRDefault="00FB79BB" w:rsidP="00FB79BB">
      <w:pPr>
        <w:numPr>
          <w:ilvl w:val="0"/>
          <w:numId w:val="13"/>
        </w:numPr>
        <w:ind w:left="567" w:hanging="567"/>
        <w:jc w:val="both"/>
        <w:rPr>
          <w:rFonts w:ascii="Tahoma" w:hAnsi="Tahoma" w:cs="Tahoma"/>
          <w:sz w:val="20"/>
          <w:szCs w:val="20"/>
          <w:lang w:val="es-MX"/>
        </w:rPr>
      </w:pPr>
      <w:r w:rsidRPr="004F4FE5">
        <w:rPr>
          <w:rFonts w:ascii="Tahoma" w:hAnsi="Tahoma" w:cs="Tahoma"/>
          <w:sz w:val="20"/>
          <w:szCs w:val="20"/>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FB79BB" w:rsidRPr="004F4FE5" w:rsidRDefault="00FB79BB" w:rsidP="00FB79BB">
      <w:pPr>
        <w:ind w:left="567" w:hanging="567"/>
        <w:jc w:val="both"/>
        <w:rPr>
          <w:rFonts w:ascii="Tahoma" w:hAnsi="Tahoma" w:cs="Tahoma"/>
          <w:sz w:val="20"/>
          <w:szCs w:val="20"/>
          <w:lang w:val="es-MX"/>
        </w:rPr>
      </w:pPr>
    </w:p>
    <w:p w:rsidR="00FB79BB" w:rsidRPr="004F4FE5" w:rsidRDefault="00FB79BB" w:rsidP="00725581">
      <w:pPr>
        <w:numPr>
          <w:ilvl w:val="0"/>
          <w:numId w:val="13"/>
        </w:numPr>
        <w:ind w:left="567" w:hanging="567"/>
        <w:jc w:val="both"/>
        <w:rPr>
          <w:rFonts w:ascii="Tahoma" w:hAnsi="Tahoma" w:cs="Tahoma"/>
          <w:sz w:val="20"/>
          <w:szCs w:val="20"/>
          <w:lang w:val="es-MX"/>
        </w:rPr>
      </w:pPr>
      <w:r w:rsidRPr="004F4FE5">
        <w:rPr>
          <w:rFonts w:ascii="Tahoma" w:hAnsi="Tahoma" w:cs="Tahoma"/>
          <w:sz w:val="20"/>
          <w:szCs w:val="20"/>
          <w:lang w:val="es-MX"/>
        </w:rPr>
        <w:t xml:space="preserve">Que el CNT del </w:t>
      </w:r>
      <w:r w:rsidRPr="004F4FE5">
        <w:rPr>
          <w:rFonts w:ascii="Tahoma" w:hAnsi="Tahoma" w:cs="Tahoma"/>
          <w:b/>
          <w:sz w:val="20"/>
          <w:szCs w:val="20"/>
          <w:lang w:val="es-MX"/>
        </w:rPr>
        <w:t>LICITANTE</w:t>
      </w:r>
      <w:r w:rsidRPr="004F4FE5">
        <w:rPr>
          <w:rFonts w:ascii="Tahoma" w:hAnsi="Tahoma" w:cs="Tahoma"/>
          <w:sz w:val="20"/>
          <w:szCs w:val="20"/>
          <w:lang w:val="es-MX"/>
        </w:rPr>
        <w:t xml:space="preserve"> sea suficiente para el financiamiento de los trabajos a realizar. Se tendrá como suficiente dicho capital neto, cuando el importe del último ejercicio fiscal del activo circulante (AC) menos el pasivo circulante (PC) </w:t>
      </w:r>
      <w:r w:rsidRPr="00277658">
        <w:rPr>
          <w:rFonts w:ascii="Tahoma" w:hAnsi="Tahoma" w:cs="Tahoma"/>
          <w:sz w:val="20"/>
          <w:szCs w:val="20"/>
          <w:u w:val="single"/>
          <w:lang w:val="es-MX"/>
        </w:rPr>
        <w:t xml:space="preserve">sea igual o mayor </w:t>
      </w:r>
      <w:r w:rsidR="00020D50">
        <w:rPr>
          <w:rFonts w:ascii="Tahoma" w:hAnsi="Tahoma" w:cs="Tahoma"/>
          <w:sz w:val="20"/>
          <w:szCs w:val="20"/>
          <w:u w:val="single"/>
          <w:lang w:val="es-MX"/>
        </w:rPr>
        <w:t>a</w:t>
      </w:r>
      <w:r w:rsidRPr="00277658">
        <w:rPr>
          <w:rFonts w:ascii="Tahoma" w:hAnsi="Tahoma" w:cs="Tahoma"/>
          <w:sz w:val="20"/>
          <w:szCs w:val="20"/>
          <w:u w:val="single"/>
          <w:lang w:val="es-MX"/>
        </w:rPr>
        <w:t xml:space="preserve">l </w:t>
      </w:r>
      <w:r w:rsidR="00020D50">
        <w:rPr>
          <w:rFonts w:ascii="Tahoma" w:hAnsi="Tahoma" w:cs="Tahoma"/>
          <w:sz w:val="20"/>
          <w:szCs w:val="20"/>
          <w:u w:val="single"/>
          <w:lang w:val="es-MX"/>
        </w:rPr>
        <w:t xml:space="preserve">importe acumulado de sus egresos al segundo mes de su </w:t>
      </w:r>
      <w:r w:rsidR="00725581">
        <w:rPr>
          <w:rFonts w:ascii="Tahoma" w:hAnsi="Tahoma" w:cs="Tahoma"/>
          <w:sz w:val="20"/>
          <w:szCs w:val="20"/>
          <w:u w:val="single"/>
          <w:lang w:val="es-MX"/>
        </w:rPr>
        <w:t>Cálculo de financiamiento del documento 13.</w:t>
      </w:r>
    </w:p>
    <w:p w:rsidR="00FB79BB" w:rsidRPr="004F4FE5" w:rsidRDefault="00FB79BB" w:rsidP="00725581">
      <w:pPr>
        <w:ind w:left="567"/>
        <w:jc w:val="both"/>
        <w:rPr>
          <w:rFonts w:ascii="Tahoma" w:hAnsi="Tahoma" w:cs="Tahoma"/>
          <w:sz w:val="20"/>
          <w:szCs w:val="20"/>
          <w:lang w:val="es-MX"/>
        </w:rPr>
      </w:pPr>
    </w:p>
    <w:p w:rsidR="00FB79BB" w:rsidRPr="00B3455E" w:rsidRDefault="00FB79BB" w:rsidP="00725581">
      <w:pPr>
        <w:numPr>
          <w:ilvl w:val="0"/>
          <w:numId w:val="13"/>
        </w:numPr>
        <w:ind w:left="567" w:hanging="567"/>
        <w:jc w:val="both"/>
        <w:rPr>
          <w:rFonts w:ascii="Tahoma" w:hAnsi="Tahoma" w:cs="Tahoma"/>
          <w:sz w:val="20"/>
          <w:szCs w:val="20"/>
          <w:lang w:val="es-MX"/>
        </w:rPr>
      </w:pPr>
      <w:r w:rsidRPr="004F4FE5">
        <w:rPr>
          <w:rFonts w:ascii="Tahoma" w:hAnsi="Tahoma" w:cs="Tahoma"/>
          <w:sz w:val="20"/>
          <w:szCs w:val="20"/>
          <w:lang w:val="es-MX"/>
        </w:rPr>
        <w:t xml:space="preserve">Que el </w:t>
      </w:r>
      <w:r w:rsidRPr="004F4FE5">
        <w:rPr>
          <w:rFonts w:ascii="Tahoma" w:hAnsi="Tahoma" w:cs="Tahoma"/>
          <w:b/>
          <w:sz w:val="20"/>
          <w:szCs w:val="20"/>
          <w:lang w:val="es-MX"/>
        </w:rPr>
        <w:t>LICITANTE</w:t>
      </w:r>
      <w:r w:rsidRPr="004F4FE5">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sea igual o </w:t>
      </w:r>
      <w:r w:rsidRPr="00B3455E">
        <w:rPr>
          <w:rFonts w:ascii="Tahoma" w:hAnsi="Tahoma" w:cs="Tahoma"/>
          <w:sz w:val="20"/>
          <w:szCs w:val="20"/>
          <w:lang w:val="es-MX"/>
        </w:rPr>
        <w:t>mayor de 1.4 unidades.</w:t>
      </w:r>
    </w:p>
    <w:p w:rsidR="00FB79BB" w:rsidRPr="00B3455E" w:rsidRDefault="00FB79BB" w:rsidP="00725581">
      <w:pPr>
        <w:ind w:left="567"/>
        <w:jc w:val="both"/>
        <w:rPr>
          <w:rFonts w:ascii="Tahoma" w:hAnsi="Tahoma" w:cs="Tahoma"/>
          <w:sz w:val="20"/>
          <w:szCs w:val="20"/>
          <w:lang w:val="es-MX"/>
        </w:rPr>
      </w:pPr>
    </w:p>
    <w:p w:rsidR="00FB79BB" w:rsidRPr="00B3455E" w:rsidRDefault="00FB79BB" w:rsidP="00FB79BB">
      <w:pPr>
        <w:numPr>
          <w:ilvl w:val="0"/>
          <w:numId w:val="13"/>
        </w:numPr>
        <w:ind w:left="567" w:hanging="567"/>
        <w:jc w:val="both"/>
        <w:rPr>
          <w:rFonts w:ascii="Tahoma" w:hAnsi="Tahoma" w:cs="Tahoma"/>
          <w:sz w:val="20"/>
          <w:szCs w:val="20"/>
          <w:lang w:val="es-MX"/>
        </w:rPr>
      </w:pPr>
      <w:r w:rsidRPr="00B3455E">
        <w:rPr>
          <w:rFonts w:ascii="Tahoma" w:hAnsi="Tahoma" w:cs="Tahoma"/>
          <w:sz w:val="20"/>
          <w:szCs w:val="20"/>
          <w:lang w:val="es-MX"/>
        </w:rPr>
        <w:t xml:space="preserve"> Que el </w:t>
      </w:r>
      <w:r w:rsidRPr="00B3455E">
        <w:rPr>
          <w:rFonts w:ascii="Tahoma" w:hAnsi="Tahoma" w:cs="Tahoma"/>
          <w:b/>
          <w:sz w:val="20"/>
          <w:szCs w:val="20"/>
          <w:lang w:val="es-MX"/>
        </w:rPr>
        <w:t>LICITANTE</w:t>
      </w:r>
      <w:r w:rsidRPr="00B3455E">
        <w:rPr>
          <w:rFonts w:ascii="Tahoma" w:hAnsi="Tahoma" w:cs="Tahoma"/>
          <w:sz w:val="20"/>
          <w:szCs w:val="20"/>
          <w:lang w:val="es-MX"/>
        </w:rPr>
        <w:t xml:space="preserve"> demuestre un aceptable grado en que depende del endeudamiento de la empresa. Se tendrá como aceptable dicho grado de endeudamiento del </w:t>
      </w:r>
      <w:r w:rsidRPr="00B3455E">
        <w:rPr>
          <w:rFonts w:ascii="Tahoma" w:hAnsi="Tahoma" w:cs="Tahoma"/>
          <w:b/>
          <w:sz w:val="20"/>
          <w:szCs w:val="20"/>
          <w:lang w:val="es-MX"/>
        </w:rPr>
        <w:t>LICITANTE</w:t>
      </w:r>
      <w:r w:rsidRPr="00B3455E">
        <w:rPr>
          <w:rFonts w:ascii="Tahoma" w:hAnsi="Tahoma" w:cs="Tahoma"/>
          <w:sz w:val="20"/>
          <w:szCs w:val="20"/>
          <w:lang w:val="es-MX"/>
        </w:rPr>
        <w:t xml:space="preserve"> cuando el importe del último año fiscal del PT entre AT sea igual o menor del </w:t>
      </w:r>
      <w:r w:rsidR="004F4614" w:rsidRPr="00B3455E">
        <w:rPr>
          <w:rFonts w:ascii="Tahoma" w:hAnsi="Tahoma" w:cs="Tahoma"/>
          <w:sz w:val="20"/>
          <w:szCs w:val="20"/>
          <w:lang w:val="es-MX"/>
        </w:rPr>
        <w:t>50</w:t>
      </w:r>
      <w:r w:rsidRPr="00B3455E">
        <w:rPr>
          <w:rFonts w:ascii="Tahoma" w:hAnsi="Tahoma" w:cs="Tahoma"/>
          <w:sz w:val="20"/>
          <w:szCs w:val="20"/>
          <w:lang w:val="es-MX"/>
        </w:rPr>
        <w:t>%.</w:t>
      </w:r>
    </w:p>
    <w:p w:rsidR="00FB79BB" w:rsidRPr="004F4FE5" w:rsidRDefault="00FB79BB" w:rsidP="00FB79BB">
      <w:pPr>
        <w:pStyle w:val="Prrafodelista"/>
        <w:rPr>
          <w:rFonts w:cs="Tahoma"/>
          <w:sz w:val="20"/>
          <w:szCs w:val="20"/>
          <w:lang w:val="es-MX"/>
        </w:rPr>
      </w:pPr>
    </w:p>
    <w:p w:rsidR="00FB79BB" w:rsidRPr="00F153A9" w:rsidRDefault="00FB79BB" w:rsidP="00FB79BB">
      <w:pPr>
        <w:numPr>
          <w:ilvl w:val="0"/>
          <w:numId w:val="13"/>
        </w:numPr>
        <w:ind w:left="567" w:hanging="567"/>
        <w:jc w:val="both"/>
        <w:rPr>
          <w:rFonts w:ascii="Tahoma" w:hAnsi="Tahoma" w:cs="Tahoma"/>
          <w:sz w:val="20"/>
          <w:szCs w:val="20"/>
          <w:highlight w:val="yellow"/>
          <w:lang w:val="es-MX"/>
        </w:rPr>
      </w:pPr>
      <w:r w:rsidRPr="00F153A9">
        <w:rPr>
          <w:rFonts w:ascii="Tahoma" w:hAnsi="Tahoma" w:cs="Tahoma"/>
          <w:sz w:val="20"/>
          <w:szCs w:val="20"/>
          <w:highlight w:val="yellow"/>
          <w:lang w:val="es-MX"/>
        </w:rPr>
        <w:t xml:space="preserve">Se tendrá como aceptable dicha rentabilidad del </w:t>
      </w:r>
      <w:r w:rsidRPr="00F153A9">
        <w:rPr>
          <w:rFonts w:ascii="Tahoma" w:hAnsi="Tahoma" w:cs="Tahoma"/>
          <w:b/>
          <w:sz w:val="20"/>
          <w:szCs w:val="20"/>
          <w:highlight w:val="yellow"/>
          <w:lang w:val="es-MX"/>
        </w:rPr>
        <w:t>LICITANTE</w:t>
      </w:r>
      <w:r w:rsidRPr="00F153A9">
        <w:rPr>
          <w:rFonts w:ascii="Tahoma" w:hAnsi="Tahoma" w:cs="Tahoma"/>
          <w:sz w:val="20"/>
          <w:szCs w:val="20"/>
          <w:highlight w:val="yellow"/>
          <w:lang w:val="es-MX"/>
        </w:rPr>
        <w:t xml:space="preserve"> cuando el importe del último año fiscal de la utilidad neta entre el capital contable sea igual o mayor del 1</w:t>
      </w:r>
      <w:r w:rsidR="004133F2">
        <w:rPr>
          <w:rFonts w:ascii="Tahoma" w:hAnsi="Tahoma" w:cs="Tahoma"/>
          <w:sz w:val="20"/>
          <w:szCs w:val="20"/>
          <w:highlight w:val="yellow"/>
          <w:lang w:val="es-MX"/>
        </w:rPr>
        <w:t>0</w:t>
      </w:r>
      <w:r w:rsidRPr="00F153A9">
        <w:rPr>
          <w:rFonts w:ascii="Tahoma" w:hAnsi="Tahoma" w:cs="Tahoma"/>
          <w:sz w:val="20"/>
          <w:szCs w:val="20"/>
          <w:highlight w:val="yellow"/>
          <w:lang w:val="es-MX"/>
        </w:rPr>
        <w:t>%.</w:t>
      </w:r>
    </w:p>
    <w:p w:rsidR="00FB79BB" w:rsidRPr="004F4FE5" w:rsidRDefault="00FB79BB" w:rsidP="00FB79BB">
      <w:pPr>
        <w:ind w:left="567"/>
        <w:jc w:val="both"/>
        <w:rPr>
          <w:rFonts w:ascii="Tahoma" w:hAnsi="Tahoma" w:cs="Tahoma"/>
          <w:sz w:val="20"/>
          <w:szCs w:val="20"/>
          <w:lang w:val="es-MX"/>
        </w:rPr>
      </w:pPr>
    </w:p>
    <w:p w:rsidR="00FB79BB" w:rsidRPr="004F4FE5" w:rsidRDefault="00FB79BB" w:rsidP="00FB79BB">
      <w:pPr>
        <w:ind w:left="567"/>
        <w:jc w:val="both"/>
        <w:rPr>
          <w:rFonts w:ascii="Tahoma" w:hAnsi="Tahoma" w:cs="Tahoma"/>
          <w:sz w:val="20"/>
          <w:szCs w:val="20"/>
          <w:lang w:val="es-MX"/>
        </w:rPr>
      </w:pPr>
      <w:r w:rsidRPr="004F4FE5">
        <w:rPr>
          <w:rFonts w:ascii="Tahoma" w:hAnsi="Tahoma" w:cs="Tahoma"/>
          <w:sz w:val="20"/>
          <w:szCs w:val="20"/>
          <w:lang w:val="es-MX"/>
        </w:rPr>
        <w:t>En el caso de proposiciones presentadas en forma conjuntas o en grupo, se sumarán los CNT, AC, PC, AT y PT, para cumplir con los parámetros señalados en los incisos anteriores.</w:t>
      </w:r>
    </w:p>
    <w:p w:rsidR="00F662C3" w:rsidRPr="00FB79BB" w:rsidRDefault="00F662C3" w:rsidP="00414D0A">
      <w:pPr>
        <w:jc w:val="both"/>
        <w:rPr>
          <w:rFonts w:ascii="Tahoma" w:hAnsi="Tahoma" w:cs="Tahoma"/>
          <w:sz w:val="20"/>
          <w:szCs w:val="20"/>
          <w:lang w:val="es-MX"/>
        </w:rPr>
      </w:pPr>
    </w:p>
    <w:p w:rsidR="004A5CA3" w:rsidRPr="004F4FE5" w:rsidRDefault="004A5CA3" w:rsidP="004A5CA3">
      <w:pPr>
        <w:ind w:left="567" w:hanging="567"/>
        <w:jc w:val="both"/>
        <w:rPr>
          <w:rFonts w:cs="Arial"/>
          <w:sz w:val="20"/>
          <w:szCs w:val="20"/>
          <w:lang w:val="es-MX"/>
        </w:rPr>
      </w:pPr>
    </w:p>
    <w:p w:rsidR="00414D0A" w:rsidRPr="004F4614" w:rsidRDefault="004A5CA3" w:rsidP="00414D0A">
      <w:pPr>
        <w:numPr>
          <w:ilvl w:val="0"/>
          <w:numId w:val="3"/>
        </w:numPr>
        <w:ind w:left="709"/>
        <w:jc w:val="both"/>
        <w:rPr>
          <w:rFonts w:ascii="Tahoma" w:hAnsi="Tahoma" w:cs="Tahoma"/>
          <w:sz w:val="20"/>
          <w:lang w:val="es-MX"/>
        </w:rPr>
      </w:pPr>
      <w:r w:rsidRPr="00F662C3">
        <w:rPr>
          <w:rFonts w:ascii="Tahoma" w:hAnsi="Tahoma" w:cs="Tahoma"/>
          <w:b/>
          <w:sz w:val="20"/>
          <w:highlight w:val="yellow"/>
          <w:lang w:val="es-MX"/>
        </w:rPr>
        <w:t xml:space="preserve">Copia simple de la declaración fiscal ejercicio </w:t>
      </w:r>
      <w:r w:rsidR="004B6B89">
        <w:rPr>
          <w:rFonts w:ascii="Tahoma" w:hAnsi="Tahoma" w:cs="Tahoma"/>
          <w:b/>
          <w:sz w:val="20"/>
          <w:highlight w:val="yellow"/>
          <w:lang w:val="es-MX"/>
        </w:rPr>
        <w:t>201</w:t>
      </w:r>
      <w:r w:rsidR="00725581">
        <w:rPr>
          <w:rFonts w:ascii="Tahoma" w:hAnsi="Tahoma" w:cs="Tahoma"/>
          <w:b/>
          <w:sz w:val="20"/>
          <w:highlight w:val="yellow"/>
          <w:lang w:val="es-MX"/>
        </w:rPr>
        <w:t>1</w:t>
      </w:r>
      <w:r w:rsidR="004B6B89">
        <w:rPr>
          <w:rFonts w:ascii="Tahoma" w:hAnsi="Tahoma" w:cs="Tahoma"/>
          <w:b/>
          <w:sz w:val="20"/>
          <w:highlight w:val="yellow"/>
          <w:lang w:val="es-MX"/>
        </w:rPr>
        <w:t xml:space="preserve"> Y </w:t>
      </w:r>
      <w:r w:rsidRPr="00F662C3">
        <w:rPr>
          <w:rFonts w:ascii="Tahoma" w:hAnsi="Tahoma" w:cs="Tahoma"/>
          <w:b/>
          <w:sz w:val="20"/>
          <w:highlight w:val="yellow"/>
          <w:lang w:val="es-MX"/>
        </w:rPr>
        <w:t>20</w:t>
      </w:r>
      <w:r w:rsidR="00AA4CC7" w:rsidRPr="00F662C3">
        <w:rPr>
          <w:rFonts w:ascii="Tahoma" w:hAnsi="Tahoma" w:cs="Tahoma"/>
          <w:b/>
          <w:sz w:val="20"/>
          <w:highlight w:val="yellow"/>
          <w:lang w:val="es-MX"/>
        </w:rPr>
        <w:t>1</w:t>
      </w:r>
      <w:r w:rsidR="00725581">
        <w:rPr>
          <w:rFonts w:ascii="Tahoma" w:hAnsi="Tahoma" w:cs="Tahoma"/>
          <w:b/>
          <w:sz w:val="20"/>
          <w:highlight w:val="yellow"/>
          <w:lang w:val="es-MX"/>
        </w:rPr>
        <w:t>2</w:t>
      </w:r>
      <w:r w:rsidRPr="00F662C3">
        <w:rPr>
          <w:rFonts w:ascii="Tahoma" w:hAnsi="Tahoma" w:cs="Tahoma"/>
          <w:b/>
          <w:sz w:val="20"/>
          <w:highlight w:val="yellow"/>
          <w:lang w:val="es-MX"/>
        </w:rPr>
        <w:t xml:space="preserve"> </w:t>
      </w:r>
    </w:p>
    <w:p w:rsidR="004F4614" w:rsidRPr="004F4614" w:rsidRDefault="004F4614" w:rsidP="004F4614">
      <w:pPr>
        <w:ind w:left="709"/>
        <w:jc w:val="both"/>
        <w:rPr>
          <w:rFonts w:ascii="Tahoma" w:hAnsi="Tahoma" w:cs="Tahoma"/>
          <w:sz w:val="20"/>
          <w:lang w:val="es-MX"/>
        </w:rPr>
      </w:pPr>
    </w:p>
    <w:p w:rsidR="004F4614" w:rsidRDefault="004F4614" w:rsidP="004F4614">
      <w:pPr>
        <w:pStyle w:val="Prrafodelista"/>
        <w:ind w:left="720"/>
        <w:jc w:val="both"/>
        <w:rPr>
          <w:rFonts w:cs="Tahoma"/>
          <w:sz w:val="20"/>
          <w:lang w:val="es-MX"/>
        </w:rPr>
      </w:pPr>
      <w:r w:rsidRPr="004F4614">
        <w:rPr>
          <w:rFonts w:cs="Tahoma"/>
          <w:sz w:val="20"/>
          <w:lang w:val="es-MX"/>
        </w:rPr>
        <w:t xml:space="preserve">Así mismo se hace el señalamiento de que en caso de que derivado de los tiempos aplicables en normatividad oficial a la fecha de la presentación de propuestas por parte de los licitantes no se </w:t>
      </w:r>
      <w:r w:rsidRPr="004F4614">
        <w:rPr>
          <w:rFonts w:cs="Tahoma"/>
          <w:sz w:val="20"/>
          <w:lang w:val="es-MX"/>
        </w:rPr>
        <w:lastRenderedPageBreak/>
        <w:t>encuentren obligados a la presentación de los Estados financieros dictaminados, ni la Ultima declaración de Impuestos por el ejercicio 201</w:t>
      </w:r>
      <w:r w:rsidR="00725581">
        <w:rPr>
          <w:rFonts w:cs="Tahoma"/>
          <w:sz w:val="20"/>
          <w:lang w:val="es-MX"/>
        </w:rPr>
        <w:t>2</w:t>
      </w:r>
      <w:r w:rsidRPr="004F4614">
        <w:rPr>
          <w:rFonts w:cs="Tahoma"/>
          <w:sz w:val="20"/>
          <w:lang w:val="es-MX"/>
        </w:rPr>
        <w:t>, en este caso bastara con la presentación de los estados financieros básicos (Estado de Posición Financiera; Estado de Resultados; Estado de Variación en el Capital Contable cuando menos) al 31 de Diciembre 201</w:t>
      </w:r>
      <w:r w:rsidR="00725581">
        <w:rPr>
          <w:rFonts w:cs="Tahoma"/>
          <w:sz w:val="20"/>
          <w:lang w:val="es-MX"/>
        </w:rPr>
        <w:t>2</w:t>
      </w:r>
      <w:r w:rsidRPr="004F4614">
        <w:rPr>
          <w:rFonts w:cs="Tahoma"/>
          <w:sz w:val="20"/>
          <w:lang w:val="es-MX"/>
        </w:rPr>
        <w:t xml:space="preserve"> Firmados por el Representante legal de la licitante, y el C.P.  </w:t>
      </w:r>
      <w:proofErr w:type="gramStart"/>
      <w:r w:rsidRPr="004F4614">
        <w:rPr>
          <w:rFonts w:cs="Tahoma"/>
          <w:sz w:val="20"/>
          <w:lang w:val="es-MX"/>
        </w:rPr>
        <w:t>encargado</w:t>
      </w:r>
      <w:proofErr w:type="gramEnd"/>
      <w:r w:rsidRPr="004F4614">
        <w:rPr>
          <w:rFonts w:cs="Tahoma"/>
          <w:sz w:val="20"/>
          <w:lang w:val="es-MX"/>
        </w:rPr>
        <w:t xml:space="preserve"> de la elaboración del mismo. </w:t>
      </w:r>
    </w:p>
    <w:p w:rsidR="00ED692B" w:rsidRPr="004F4FE5" w:rsidRDefault="00ED692B" w:rsidP="00ED692B">
      <w:pPr>
        <w:ind w:left="720"/>
        <w:jc w:val="both"/>
        <w:rPr>
          <w:rFonts w:ascii="Tahoma" w:hAnsi="Tahoma" w:cs="Tahoma"/>
          <w:sz w:val="20"/>
          <w:lang w:val="es-MX"/>
        </w:rPr>
      </w:pPr>
    </w:p>
    <w:p w:rsidR="00ED692B" w:rsidRPr="004F4FE5" w:rsidRDefault="00ED692B" w:rsidP="00ED692B">
      <w:pPr>
        <w:numPr>
          <w:ilvl w:val="0"/>
          <w:numId w:val="3"/>
        </w:numPr>
        <w:jc w:val="both"/>
        <w:rPr>
          <w:rFonts w:ascii="Tahoma" w:hAnsi="Tahoma" w:cs="Tahoma"/>
          <w:sz w:val="20"/>
          <w:lang w:val="es-MX"/>
        </w:rPr>
      </w:pPr>
      <w:r w:rsidRPr="004F4FE5">
        <w:rPr>
          <w:rFonts w:ascii="Tahoma" w:hAnsi="Tahoma" w:cs="Tahoma"/>
          <w:sz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ED692B" w:rsidRPr="004F4FE5" w:rsidRDefault="00ED692B" w:rsidP="00ED692B">
      <w:pPr>
        <w:ind w:left="720"/>
        <w:jc w:val="both"/>
        <w:rPr>
          <w:rFonts w:ascii="Tahoma" w:hAnsi="Tahoma" w:cs="Tahoma"/>
          <w:sz w:val="20"/>
          <w:lang w:val="es-MX"/>
        </w:rPr>
      </w:pPr>
    </w:p>
    <w:p w:rsidR="004B6B89" w:rsidRDefault="004B6B89" w:rsidP="004F4614">
      <w:pPr>
        <w:pStyle w:val="Prrafodelista"/>
        <w:ind w:left="720"/>
        <w:jc w:val="both"/>
        <w:rPr>
          <w:rFonts w:cs="Tahoma"/>
          <w:sz w:val="20"/>
          <w:szCs w:val="20"/>
          <w:lang w:val="es-MX"/>
        </w:rPr>
      </w:pPr>
      <w:r w:rsidRPr="004F4FE5">
        <w:rPr>
          <w:rFonts w:cs="Tahoma"/>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w:t>
      </w:r>
      <w:r w:rsidR="00B3455E">
        <w:rPr>
          <w:rFonts w:cs="Tahoma"/>
          <w:sz w:val="20"/>
          <w:szCs w:val="20"/>
          <w:lang w:val="es-MX"/>
        </w:rPr>
        <w:t>1</w:t>
      </w:r>
      <w:r w:rsidRPr="004F4FE5">
        <w:rPr>
          <w:rFonts w:cs="Tahoma"/>
          <w:sz w:val="20"/>
          <w:szCs w:val="20"/>
          <w:lang w:val="es-MX"/>
        </w:rPr>
        <w:t xml:space="preserve"> o el mas reciente que se tenga Firmados por el Representante legal de la licitante, y el C.P.  </w:t>
      </w:r>
      <w:proofErr w:type="gramStart"/>
      <w:r w:rsidRPr="004F4FE5">
        <w:rPr>
          <w:rFonts w:cs="Tahoma"/>
          <w:sz w:val="20"/>
          <w:szCs w:val="20"/>
          <w:lang w:val="es-MX"/>
        </w:rPr>
        <w:t>encargado</w:t>
      </w:r>
      <w:proofErr w:type="gramEnd"/>
      <w:r w:rsidRPr="004F4FE5">
        <w:rPr>
          <w:rFonts w:cs="Tahoma"/>
          <w:sz w:val="20"/>
          <w:szCs w:val="20"/>
          <w:lang w:val="es-MX"/>
        </w:rPr>
        <w:t xml:space="preserve"> de la elaboración del mismo</w:t>
      </w:r>
    </w:p>
    <w:p w:rsidR="00725581" w:rsidRDefault="00725581" w:rsidP="004F4614">
      <w:pPr>
        <w:pStyle w:val="Prrafodelista"/>
        <w:ind w:left="720"/>
        <w:jc w:val="both"/>
        <w:rPr>
          <w:rFonts w:cs="Tahoma"/>
          <w:sz w:val="20"/>
          <w:szCs w:val="20"/>
          <w:lang w:val="es-MX"/>
        </w:rPr>
      </w:pPr>
    </w:p>
    <w:p w:rsidR="00D55EAE" w:rsidRPr="00D55EAE" w:rsidRDefault="00D55EAE" w:rsidP="00D55EAE">
      <w:pPr>
        <w:pStyle w:val="Texto0"/>
        <w:spacing w:after="50" w:line="226" w:lineRule="exact"/>
        <w:rPr>
          <w:b/>
          <w:sz w:val="20"/>
        </w:rPr>
      </w:pPr>
      <w:r w:rsidRPr="00D55EAE">
        <w:rPr>
          <w:b/>
          <w:sz w:val="20"/>
        </w:rPr>
        <w:t>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compranet.</w:t>
      </w: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BE39EC" w:rsidRPr="007E681A" w:rsidRDefault="007E681A" w:rsidP="00854EED">
      <w:pPr>
        <w:pStyle w:val="Prrafodelista"/>
        <w:numPr>
          <w:ilvl w:val="0"/>
          <w:numId w:val="24"/>
        </w:numPr>
        <w:jc w:val="both"/>
        <w:rPr>
          <w:rFonts w:cs="Tahoma"/>
          <w:sz w:val="18"/>
          <w:szCs w:val="18"/>
          <w:lang w:val="es-ES_tradnl"/>
        </w:rPr>
      </w:pPr>
      <w:r w:rsidRPr="007E681A">
        <w:rPr>
          <w:rFonts w:ascii="Arial" w:hAnsi="Arial" w:cs="Arial"/>
          <w:sz w:val="18"/>
          <w:szCs w:val="18"/>
        </w:rPr>
        <w:t xml:space="preserve">Haber </w:t>
      </w:r>
      <w:r w:rsidRPr="005714C5">
        <w:rPr>
          <w:rFonts w:ascii="Arial" w:hAnsi="Arial" w:cs="Arial"/>
          <w:sz w:val="18"/>
          <w:szCs w:val="18"/>
        </w:rPr>
        <w:t>considerado</w:t>
      </w:r>
      <w:r w:rsidR="00BE39EC" w:rsidRPr="005714C5">
        <w:rPr>
          <w:rFonts w:ascii="Arial" w:hAnsi="Arial" w:cs="Arial"/>
          <w:sz w:val="18"/>
          <w:szCs w:val="18"/>
        </w:rPr>
        <w:t xml:space="preserve"> las Normas, de calidad de los materiales </w:t>
      </w:r>
      <w:r w:rsidRPr="005714C5">
        <w:rPr>
          <w:rFonts w:ascii="Arial" w:hAnsi="Arial" w:cs="Arial"/>
          <w:sz w:val="18"/>
          <w:szCs w:val="18"/>
        </w:rPr>
        <w:t xml:space="preserve">y </w:t>
      </w:r>
      <w:r w:rsidR="00BE39EC" w:rsidRPr="005714C5">
        <w:rPr>
          <w:rFonts w:ascii="Arial" w:hAnsi="Arial" w:cs="Arial"/>
          <w:sz w:val="18"/>
          <w:szCs w:val="18"/>
        </w:rPr>
        <w:t>las especificaciones</w:t>
      </w:r>
      <w:r w:rsidR="00BE39EC" w:rsidRPr="007E681A">
        <w:rPr>
          <w:rFonts w:ascii="Arial" w:hAnsi="Arial" w:cs="Arial"/>
          <w:sz w:val="18"/>
          <w:szCs w:val="18"/>
        </w:rPr>
        <w:t xml:space="preserve"> </w:t>
      </w:r>
      <w:r w:rsidRPr="007E681A">
        <w:rPr>
          <w:rFonts w:ascii="Arial" w:hAnsi="Arial" w:cs="Arial"/>
          <w:sz w:val="18"/>
          <w:szCs w:val="18"/>
        </w:rPr>
        <w:t xml:space="preserve">generales y </w:t>
      </w:r>
      <w:r w:rsidR="00BE39EC" w:rsidRPr="007E681A">
        <w:rPr>
          <w:rFonts w:ascii="Arial" w:hAnsi="Arial" w:cs="Arial"/>
          <w:sz w:val="18"/>
          <w:szCs w:val="18"/>
        </w:rPr>
        <w:t xml:space="preserve">particulares de construcción que la Entidad </w:t>
      </w:r>
      <w:r w:rsidRPr="007E681A">
        <w:rPr>
          <w:rFonts w:ascii="Arial" w:hAnsi="Arial" w:cs="Arial"/>
          <w:sz w:val="18"/>
          <w:szCs w:val="18"/>
        </w:rPr>
        <w:t>no</w:t>
      </w:r>
      <w:r w:rsidR="00BE39EC" w:rsidRPr="007E681A">
        <w:rPr>
          <w:rFonts w:ascii="Arial" w:hAnsi="Arial" w:cs="Arial"/>
          <w:sz w:val="18"/>
          <w:szCs w:val="18"/>
        </w:rPr>
        <w:t>s h</w:t>
      </w:r>
      <w:r w:rsidRPr="007E681A">
        <w:rPr>
          <w:rFonts w:ascii="Arial" w:hAnsi="Arial" w:cs="Arial"/>
          <w:sz w:val="18"/>
          <w:szCs w:val="18"/>
        </w:rPr>
        <w:t>a</w:t>
      </w:r>
      <w:r w:rsidR="00BE39EC" w:rsidRPr="007E681A">
        <w:rPr>
          <w:rFonts w:ascii="Arial" w:hAnsi="Arial" w:cs="Arial"/>
          <w:sz w:val="18"/>
          <w:szCs w:val="18"/>
        </w:rPr>
        <w:t xml:space="preserve"> proporcionado;</w:t>
      </w:r>
      <w:r w:rsidRPr="007E681A">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7E681A">
        <w:rPr>
          <w:rFonts w:ascii="Arial" w:hAnsi="Arial" w:cs="Arial"/>
          <w:sz w:val="18"/>
          <w:szCs w:val="18"/>
        </w:rPr>
        <w:t>asi</w:t>
      </w:r>
      <w:proofErr w:type="spellEnd"/>
      <w:r w:rsidRPr="007E681A">
        <w:rPr>
          <w:rFonts w:ascii="Arial" w:hAnsi="Arial" w:cs="Arial"/>
          <w:sz w:val="18"/>
          <w:szCs w:val="18"/>
        </w:rPr>
        <w:t xml:space="preserve"> como </w:t>
      </w:r>
      <w:r w:rsidR="00BE39EC" w:rsidRPr="007E681A">
        <w:rPr>
          <w:rFonts w:ascii="Arial" w:hAnsi="Arial" w:cs="Arial"/>
          <w:sz w:val="18"/>
          <w:szCs w:val="18"/>
        </w:rPr>
        <w:t>las Leyes y normas en materia de Impacto Ambiental; las Leyes y</w:t>
      </w:r>
      <w:r w:rsidR="00BE39EC" w:rsidRPr="007E681A">
        <w:rPr>
          <w:rFonts w:cs="Tahoma"/>
          <w:sz w:val="18"/>
          <w:szCs w:val="18"/>
          <w:lang w:val="es-ES_tradnl"/>
        </w:rPr>
        <w:t xml:space="preserve"> </w:t>
      </w:r>
      <w:r w:rsidR="00BE39EC" w:rsidRPr="007E681A">
        <w:rPr>
          <w:rFonts w:cs="Tahoma"/>
          <w:b/>
          <w:sz w:val="18"/>
          <w:szCs w:val="18"/>
          <w:lang w:val="es-ES_tradnl"/>
        </w:rPr>
        <w:t>REGLAMENTO</w:t>
      </w:r>
      <w:r w:rsidR="00BE39EC" w:rsidRPr="007E681A">
        <w:rPr>
          <w:rFonts w:cs="Tahoma"/>
          <w:sz w:val="18"/>
          <w:szCs w:val="18"/>
          <w:lang w:val="es-ES_tradnl"/>
        </w:rPr>
        <w:t xml:space="preserve"> </w:t>
      </w:r>
      <w:r w:rsidR="00BE39EC" w:rsidRPr="007E681A">
        <w:rPr>
          <w:rFonts w:ascii="Arial" w:hAnsi="Arial" w:cs="Arial"/>
          <w:sz w:val="18"/>
          <w:szCs w:val="18"/>
        </w:rPr>
        <w:t>aplicables y su conformidad de ajustarse a sus términos</w:t>
      </w:r>
      <w:r w:rsidR="00BE39EC" w:rsidRPr="007E681A">
        <w:rPr>
          <w:rFonts w:cs="Tahoma"/>
          <w:sz w:val="18"/>
          <w:szCs w:val="18"/>
          <w:lang w:val="es-ES_tradnl"/>
        </w:rPr>
        <w:t>.</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Pr="00854EED" w:rsidRDefault="004555EC" w:rsidP="00854EED">
      <w:pPr>
        <w:pStyle w:val="Prrafodelista"/>
        <w:numPr>
          <w:ilvl w:val="0"/>
          <w:numId w:val="24"/>
        </w:numPr>
        <w:jc w:val="both"/>
        <w:rPr>
          <w:rFonts w:ascii="Arial" w:hAnsi="Arial" w:cs="Arial"/>
          <w:sz w:val="18"/>
          <w:szCs w:val="18"/>
        </w:rPr>
      </w:pPr>
      <w:r w:rsidRPr="00854EED">
        <w:rPr>
          <w:rFonts w:ascii="Arial" w:hAnsi="Arial" w:cs="Arial"/>
          <w:sz w:val="18"/>
          <w:szCs w:val="18"/>
        </w:rPr>
        <w:t>Conocer</w:t>
      </w:r>
      <w:r w:rsidR="00561F5F" w:rsidRPr="00854EED">
        <w:rPr>
          <w:rFonts w:ascii="Arial" w:hAnsi="Arial" w:cs="Arial"/>
          <w:sz w:val="18"/>
          <w:szCs w:val="18"/>
        </w:rPr>
        <w:t xml:space="preserve"> el contenido del modelo del contrato y su conformidad de ajustarse a sus términos.</w:t>
      </w:r>
    </w:p>
    <w:p w:rsidR="00561F5F" w:rsidRDefault="00561F5F" w:rsidP="00561F5F">
      <w:pPr>
        <w:ind w:left="567" w:hanging="567"/>
        <w:jc w:val="both"/>
        <w:rPr>
          <w:rFonts w:ascii="Arial" w:hAnsi="Arial" w:cs="Arial"/>
          <w:sz w:val="18"/>
          <w:szCs w:val="18"/>
        </w:rPr>
      </w:pPr>
    </w:p>
    <w:p w:rsidR="00D20F8B" w:rsidRPr="007A63AF" w:rsidRDefault="00D20F8B" w:rsidP="00561F5F">
      <w:pPr>
        <w:ind w:left="567" w:hanging="567"/>
        <w:jc w:val="both"/>
        <w:rPr>
          <w:rFonts w:ascii="Arial" w:hAnsi="Arial"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Manifestación bajo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p>
    <w:p w:rsidR="005E40C6" w:rsidRPr="005E40C6" w:rsidRDefault="005E40C6" w:rsidP="005E40C6">
      <w:pPr>
        <w:pStyle w:val="Prrafodelista"/>
        <w:tabs>
          <w:tab w:val="num" w:pos="0"/>
        </w:tabs>
        <w:ind w:left="720"/>
        <w:jc w:val="both"/>
        <w:rPr>
          <w:rFonts w:ascii="Arial" w:hAnsi="Arial" w:cs="Arial"/>
          <w:sz w:val="18"/>
          <w:szCs w:val="18"/>
        </w:rPr>
      </w:pPr>
    </w:p>
    <w:p w:rsidR="005E40C6" w:rsidRPr="005E40C6" w:rsidRDefault="005E40C6" w:rsidP="005E40C6">
      <w:pPr>
        <w:pStyle w:val="Prrafodelista"/>
        <w:numPr>
          <w:ilvl w:val="0"/>
          <w:numId w:val="24"/>
        </w:numPr>
        <w:tabs>
          <w:tab w:val="num" w:pos="0"/>
        </w:tabs>
        <w:jc w:val="both"/>
        <w:rPr>
          <w:rFonts w:ascii="Arial" w:hAnsi="Arial" w:cs="Arial"/>
          <w:sz w:val="18"/>
          <w:szCs w:val="18"/>
        </w:rPr>
      </w:pPr>
      <w:r w:rsidRPr="005E40C6">
        <w:rPr>
          <w:rFonts w:ascii="Arial" w:hAnsi="Arial" w:cs="Arial"/>
          <w:sz w:val="18"/>
          <w:szCs w:val="18"/>
        </w:rPr>
        <w:t>i).- Manifestación que tanto él como sus correspondientes, sub 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10 ordene, de conformidad con lo dispuesto en el artículo 61 de la Ley General de Población.</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xml:space="preserve">; en sustitución de la firma autógrafa se emplearán los medios de identificación electrónica que establece la Secretaría de la función Pública, a través del sistema </w:t>
      </w:r>
      <w:proofErr w:type="spellStart"/>
      <w:r w:rsidR="008C6ECA">
        <w:rPr>
          <w:rFonts w:cs="Tahoma"/>
          <w:sz w:val="20"/>
          <w:lang w:val="es-MX"/>
        </w:rPr>
        <w:t>Compranet</w:t>
      </w:r>
      <w:proofErr w:type="spellEnd"/>
      <w:r w:rsidR="008C6ECA">
        <w:rPr>
          <w:rFonts w:cs="Tahoma"/>
          <w:sz w:val="20"/>
          <w:lang w:val="es-MX"/>
        </w:rPr>
        <w: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1B2748">
        <w:rPr>
          <w:rFonts w:ascii="Tahoma" w:hAnsi="Tahoma" w:cs="Tahoma"/>
          <w:b/>
          <w:sz w:val="20"/>
          <w:lang w:val="es-MX"/>
        </w:rPr>
        <w:t>Especificaciones Generales y particulares</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proofErr w:type="spellStart"/>
      <w:r w:rsidRPr="004F4FE5">
        <w:rPr>
          <w:rFonts w:ascii="Tahoma" w:hAnsi="Tahoma" w:cs="Tahoma"/>
          <w:sz w:val="20"/>
        </w:rPr>
        <w:t>membreteado</w:t>
      </w:r>
      <w:proofErr w:type="spellEnd"/>
      <w:r w:rsidRPr="004F4FE5">
        <w:rPr>
          <w:rFonts w:ascii="Tahoma" w:hAnsi="Tahoma" w:cs="Tahoma"/>
          <w:sz w:val="20"/>
        </w:rPr>
        <w:t xml:space="preserve"> de la empresa, relacionando </w:t>
      </w:r>
      <w:r w:rsidR="00621844" w:rsidRPr="009F7E69">
        <w:rPr>
          <w:rFonts w:ascii="Tahoma" w:hAnsi="Tahoma" w:cs="Tahoma"/>
          <w:b/>
          <w:sz w:val="20"/>
          <w:u w:val="single"/>
        </w:rPr>
        <w:t>obras</w:t>
      </w:r>
      <w:r w:rsidR="00AB367D" w:rsidRPr="009F7E69">
        <w:rPr>
          <w:rFonts w:ascii="Tahoma" w:hAnsi="Tahoma" w:cs="Tahoma"/>
          <w:b/>
          <w:sz w:val="20"/>
          <w:u w:val="single"/>
        </w:rPr>
        <w:t xml:space="preserve"> </w:t>
      </w:r>
      <w:r w:rsidR="00AF7F33">
        <w:rPr>
          <w:rFonts w:ascii="Tahoma" w:hAnsi="Tahoma" w:cs="Tahoma"/>
          <w:b/>
          <w:sz w:val="20"/>
          <w:u w:val="single"/>
        </w:rPr>
        <w:t>civiles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 xml:space="preserve">r copia notariada del </w:t>
      </w:r>
      <w:bookmarkStart w:id="0" w:name="_GoBack"/>
      <w:bookmarkEnd w:id="0"/>
      <w:r w:rsidR="00E75CEF">
        <w:rPr>
          <w:rFonts w:ascii="Tahoma" w:hAnsi="Tahoma" w:cs="Tahoma"/>
          <w:b/>
          <w:sz w:val="20"/>
          <w:highlight w:val="cyan"/>
        </w:rPr>
        <w:t>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lastRenderedPageBreak/>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lastRenderedPageBreak/>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B75321" w:rsidRPr="00AB1B72" w:rsidRDefault="00B75321" w:rsidP="00B75321">
      <w:pPr>
        <w:pStyle w:val="Sangra3detindependiente"/>
        <w:numPr>
          <w:ilvl w:val="0"/>
          <w:numId w:val="22"/>
        </w:numPr>
        <w:rPr>
          <w:rFonts w:ascii="Tahoma" w:hAnsi="Tahoma" w:cs="Tahoma"/>
          <w:b w:val="0"/>
          <w:bCs w:val="0"/>
          <w:highlight w:val="yellow"/>
          <w:lang w:val="es-MX"/>
        </w:rPr>
      </w:pPr>
      <w:r>
        <w:rPr>
          <w:rFonts w:ascii="Tahoma" w:hAnsi="Tahoma" w:cs="Tahoma"/>
          <w:lang w:val="es-MX"/>
        </w:rPr>
        <w:lastRenderedPageBreak/>
        <w:t xml:space="preserve">Presentar cotizaciones recientes, factores o el procedimiento utilizado que demuestre que los valores de adquisición </w:t>
      </w:r>
      <w:r>
        <w:rPr>
          <w:rFonts w:ascii="Tahoma" w:hAnsi="Tahoma" w:cs="Tahoma"/>
          <w:b w:val="0"/>
          <w:bCs w:val="0"/>
          <w:lang w:val="es-MX"/>
        </w:rPr>
        <w:t>de Maquinaria y/o equipo son para equipo nuevo y que deberán ser utilizados en los análisis de costos horarios para la presente Licitación</w:t>
      </w:r>
      <w:r w:rsidR="00946ECA">
        <w:rPr>
          <w:rFonts w:ascii="Tahoma" w:hAnsi="Tahoma" w:cs="Tahoma"/>
          <w:b w:val="0"/>
          <w:bCs w:val="0"/>
          <w:lang w:val="es-MX"/>
        </w:rPr>
        <w:t xml:space="preserve"> </w:t>
      </w:r>
      <w:r>
        <w:rPr>
          <w:rFonts w:ascii="Tahoma" w:hAnsi="Tahoma" w:cs="Tahoma"/>
          <w:b w:val="0"/>
          <w:bCs w:val="0"/>
          <w:lang w:val="es-MX"/>
        </w:rPr>
        <w:t xml:space="preserve">y que se encuentren en la relación que represente el </w:t>
      </w:r>
      <w:r>
        <w:rPr>
          <w:rFonts w:ascii="Tahoma" w:hAnsi="Tahoma" w:cs="Tahoma"/>
          <w:lang w:val="es-MX"/>
        </w:rPr>
        <w:t>80%</w:t>
      </w:r>
      <w:r>
        <w:rPr>
          <w:rFonts w:ascii="Tahoma" w:hAnsi="Tahoma" w:cs="Tahoma"/>
          <w:b w:val="0"/>
          <w:bCs w:val="0"/>
          <w:lang w:val="es-MX"/>
        </w:rPr>
        <w:t xml:space="preserve"> del importe del </w:t>
      </w:r>
      <w:r>
        <w:rPr>
          <w:rFonts w:ascii="Tahoma" w:hAnsi="Tahoma" w:cs="Tahoma"/>
          <w:b w:val="0"/>
          <w:bCs w:val="0"/>
          <w:u w:val="single"/>
          <w:lang w:val="es-MX"/>
        </w:rPr>
        <w:t>Equipo y herramienta</w:t>
      </w:r>
      <w:r>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condiciones entre los participantes”.</w:t>
      </w:r>
      <w:r w:rsidR="00AB1B72">
        <w:rPr>
          <w:rFonts w:ascii="Tahoma" w:hAnsi="Tahoma" w:cs="Tahoma"/>
          <w:b w:val="0"/>
          <w:bCs w:val="0"/>
          <w:lang w:val="es-MX"/>
        </w:rPr>
        <w:t xml:space="preserve"> </w:t>
      </w:r>
      <w:r w:rsidRPr="00AB1B72">
        <w:rPr>
          <w:rFonts w:ascii="Tahoma" w:hAnsi="Tahoma" w:cs="Tahoma"/>
          <w:b w:val="0"/>
          <w:bCs w:val="0"/>
          <w:highlight w:val="yellow"/>
          <w:u w:val="single"/>
          <w:lang w:val="es-MX"/>
        </w:rPr>
        <w:t>Para este inciso en particular; podrá tomar como base los datos sobre costos horarios de equipos de construcción emitidos por la Cámara Mexicana de la Industria de la Construcción en su última versión; actualizando si aplica; las variables comunes como son taza de interés, costo de combustible, costo de lubricante, tipo de cambio, etc.  Las cotizaciones de equipo nuevo contenidas dentro del mismo documento; podrán ser presentadas y servir como cotización reciente.</w:t>
      </w:r>
    </w:p>
    <w:p w:rsidR="00371EAE" w:rsidRPr="004F4FE5" w:rsidRDefault="00371EAE" w:rsidP="00B75321">
      <w:pPr>
        <w:jc w:val="both"/>
        <w:rPr>
          <w:rFonts w:ascii="Tahoma" w:hAnsi="Tahoma" w:cs="Tahoma"/>
          <w:b/>
          <w:sz w:val="20"/>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lastRenderedPageBreak/>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lastRenderedPageBreak/>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B907EB" w:rsidRDefault="00B907EB" w:rsidP="00B907EB">
      <w:pPr>
        <w:numPr>
          <w:ilvl w:val="0"/>
          <w:numId w:val="7"/>
        </w:numPr>
        <w:jc w:val="both"/>
        <w:rPr>
          <w:rFonts w:ascii="Tahoma" w:hAnsi="Tahoma" w:cs="Tahoma"/>
          <w:sz w:val="20"/>
          <w:lang w:val="es-MX"/>
        </w:rPr>
      </w:pPr>
      <w:r w:rsidRPr="00B907EB">
        <w:rPr>
          <w:rFonts w:ascii="Tahoma" w:hAnsi="Tahoma" w:cs="Tahoma"/>
          <w:sz w:val="20"/>
          <w:lang w:val="es-MX"/>
        </w:rPr>
        <w:t>El contratista deberá incluir las fichas técnicas de los materiales o equipo de instalación permanente que se indique en las especificaciones</w:t>
      </w:r>
      <w:r w:rsidR="005C6811">
        <w:rPr>
          <w:rFonts w:ascii="Tahoma" w:hAnsi="Tahoma" w:cs="Tahoma"/>
          <w:sz w:val="20"/>
          <w:lang w:val="es-MX"/>
        </w:rPr>
        <w:t>; por lo menos de los conceptos</w:t>
      </w:r>
      <w:r>
        <w:rPr>
          <w:rFonts w:ascii="Tahoma" w:hAnsi="Tahoma" w:cs="Tahoma"/>
          <w:sz w:val="20"/>
          <w:lang w:val="es-MX"/>
        </w:rPr>
        <w:t xml:space="preserve"> 15.-10-04-05, 16.-10.01.20</w:t>
      </w:r>
      <w:r w:rsidR="005C6811">
        <w:rPr>
          <w:rFonts w:ascii="Tahoma" w:hAnsi="Tahoma" w:cs="Tahoma"/>
          <w:sz w:val="20"/>
          <w:lang w:val="es-MX"/>
        </w:rPr>
        <w:t xml:space="preserve"> y</w:t>
      </w:r>
      <w:r>
        <w:rPr>
          <w:rFonts w:ascii="Tahoma" w:hAnsi="Tahoma" w:cs="Tahoma"/>
          <w:sz w:val="20"/>
          <w:lang w:val="es-MX"/>
        </w:rPr>
        <w:t xml:space="preserve"> 32</w:t>
      </w:r>
      <w:r w:rsidR="005C6811">
        <w:rPr>
          <w:rFonts w:ascii="Tahoma" w:hAnsi="Tahoma" w:cs="Tahoma"/>
          <w:sz w:val="20"/>
          <w:lang w:val="es-MX"/>
        </w:rPr>
        <w:t>.</w:t>
      </w:r>
      <w:r>
        <w:rPr>
          <w:rFonts w:ascii="Tahoma" w:hAnsi="Tahoma" w:cs="Tahoma"/>
          <w:sz w:val="20"/>
          <w:lang w:val="es-MX"/>
        </w:rPr>
        <w:t>-30.06.05</w:t>
      </w:r>
      <w:r w:rsidR="005C6811">
        <w:rPr>
          <w:rFonts w:ascii="Tahoma" w:hAnsi="Tahoma" w:cs="Tahoma"/>
          <w:sz w:val="20"/>
          <w:lang w:val="es-MX"/>
        </w:rPr>
        <w:t>.</w:t>
      </w:r>
      <w:r>
        <w:rPr>
          <w:rFonts w:ascii="Tahoma" w:hAnsi="Tahoma" w:cs="Tahoma"/>
          <w:sz w:val="20"/>
          <w:lang w:val="es-MX"/>
        </w:rPr>
        <w:t xml:space="preserve"> </w:t>
      </w:r>
    </w:p>
    <w:p w:rsidR="00B907EB" w:rsidRPr="00056050" w:rsidRDefault="00B907EB" w:rsidP="00B907EB">
      <w:pPr>
        <w:pStyle w:val="BodyText21"/>
        <w:widowControl/>
        <w:rPr>
          <w:rFonts w:ascii="Tahoma" w:hAnsi="Tahoma" w:cs="Tahoma"/>
          <w:szCs w:val="24"/>
          <w:lang w:val="es-MX"/>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lastRenderedPageBreak/>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6D7F77">
        <w:rPr>
          <w:rFonts w:ascii="Tahoma" w:hAnsi="Tahoma" w:cs="Tahoma"/>
          <w:highlight w:val="yellow"/>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 xml:space="preserve">En las proposiciones enviadas a través de medios remotos de </w:t>
      </w:r>
      <w:r w:rsidRPr="006D7F77">
        <w:rPr>
          <w:rFonts w:ascii="Tahoma" w:hAnsi="Tahoma" w:cs="Tahoma"/>
          <w:b/>
          <w:u w:val="single"/>
          <w:lang w:val="es-MX"/>
        </w:rPr>
        <w:lastRenderedPageBreak/>
        <w:t>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sidR="0069333A">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 convocatoria;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lastRenderedPageBreak/>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lastRenderedPageBreak/>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los costos horarios de la maquinaria y equipo de construcción se hayan determinado con base en el precio y rendimientos de éstos considerados como nuevos, para lo cual se tomarán como máximos los rendimientos que determinen los </w:t>
      </w:r>
      <w:r w:rsidRPr="00CA7F57">
        <w:rPr>
          <w:rFonts w:ascii="Tahoma" w:hAnsi="Tahoma" w:cs="Tahoma"/>
          <w:sz w:val="20"/>
        </w:rPr>
        <w:lastRenderedPageBreak/>
        <w:t>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lastRenderedPageBreak/>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4A5CA3" w:rsidP="004A5CA3">
      <w:pPr>
        <w:jc w:val="both"/>
        <w:rPr>
          <w:rFonts w:ascii="Tahoma" w:hAnsi="Tahoma" w:cs="Tahoma"/>
          <w:b/>
          <w:sz w:val="20"/>
          <w:szCs w:val="20"/>
          <w:lang w:val="es-MX"/>
        </w:rPr>
      </w:pPr>
      <w:r w:rsidRPr="00F92E9B">
        <w:rPr>
          <w:rFonts w:ascii="Tahoma" w:hAnsi="Tahoma" w:cs="Tahoma"/>
          <w:sz w:val="20"/>
          <w:szCs w:val="20"/>
          <w:lang w:val="es-MX"/>
        </w:rPr>
        <w:t>E</w:t>
      </w:r>
      <w:r w:rsidR="00F92E9B" w:rsidRPr="00F92E9B">
        <w:rPr>
          <w:rFonts w:ascii="Arial" w:hAnsi="Arial" w:cs="Arial"/>
          <w:sz w:val="20"/>
          <w:szCs w:val="20"/>
        </w:rPr>
        <w:t>l acto de fallo de esta licitación sólo se realizará a través de COMPRANET</w:t>
      </w:r>
      <w:r w:rsidR="00F92E9B" w:rsidRPr="00F92E9B">
        <w:rPr>
          <w:rFonts w:ascii="Tahoma" w:hAnsi="Tahoma" w:cs="Tahoma"/>
          <w:sz w:val="20"/>
          <w:szCs w:val="20"/>
          <w:lang w:val="es-MX"/>
        </w:rPr>
        <w:t xml:space="preserve"> </w:t>
      </w:r>
      <w:r w:rsidRPr="00F92E9B">
        <w:rPr>
          <w:rFonts w:ascii="Tahoma" w:hAnsi="Tahoma" w:cs="Tahoma"/>
          <w:sz w:val="20"/>
          <w:szCs w:val="20"/>
          <w:lang w:val="es-MX"/>
        </w:rPr>
        <w:t xml:space="preserve">el cual </w:t>
      </w:r>
      <w:r w:rsidR="00F92E9B" w:rsidRPr="00F92E9B">
        <w:rPr>
          <w:rFonts w:ascii="Tahoma" w:hAnsi="Tahoma" w:cs="Tahoma"/>
          <w:sz w:val="20"/>
          <w:szCs w:val="20"/>
          <w:lang w:val="es-MX"/>
        </w:rPr>
        <w:t>tendrá un</w:t>
      </w:r>
      <w:r w:rsidRPr="00F92E9B">
        <w:rPr>
          <w:rFonts w:ascii="Tahoma" w:hAnsi="Tahoma" w:cs="Tahoma"/>
          <w:sz w:val="20"/>
          <w:szCs w:val="20"/>
          <w:lang w:val="es-MX"/>
        </w:rPr>
        <w:t xml:space="preserve"> </w:t>
      </w:r>
      <w:r w:rsidRPr="00F92E9B">
        <w:rPr>
          <w:rFonts w:ascii="Tahoma" w:hAnsi="Tahoma" w:cs="Tahoma"/>
          <w:b/>
          <w:sz w:val="20"/>
          <w:szCs w:val="20"/>
          <w:lang w:val="es-MX"/>
        </w:rPr>
        <w:t>carácter de inapelable</w:t>
      </w:r>
      <w:r w:rsidRPr="00F92E9B">
        <w:rPr>
          <w:rFonts w:ascii="Tahoma" w:hAnsi="Tahoma" w:cs="Tahoma"/>
          <w:sz w:val="20"/>
          <w:szCs w:val="20"/>
          <w:lang w:val="es-MX"/>
        </w:rPr>
        <w:t xml:space="preserve"> y para constancia de la notificación de la misma, se levantara el acta correspondiente, la cual firmaran los </w:t>
      </w:r>
      <w:r w:rsidR="00F92E9B" w:rsidRPr="00F92E9B">
        <w:rPr>
          <w:rFonts w:ascii="Tahoma" w:hAnsi="Tahoma" w:cs="Tahoma"/>
          <w:sz w:val="20"/>
          <w:szCs w:val="20"/>
          <w:lang w:val="es-MX"/>
        </w:rPr>
        <w:t>servidores públicos asistentes. La</w:t>
      </w:r>
      <w:r w:rsidRPr="00F92E9B">
        <w:rPr>
          <w:rFonts w:ascii="Tahoma" w:hAnsi="Tahoma" w:cs="Tahoma"/>
          <w:sz w:val="20"/>
          <w:szCs w:val="20"/>
          <w:lang w:val="es-MX"/>
        </w:rPr>
        <w:t xml:space="preserve"> fecha programada será el día: </w:t>
      </w:r>
      <w:r w:rsidR="00562163" w:rsidRPr="00F92E9B">
        <w:rPr>
          <w:rFonts w:ascii="Tahoma" w:hAnsi="Tahoma" w:cs="Tahoma"/>
          <w:b/>
          <w:sz w:val="20"/>
          <w:szCs w:val="20"/>
          <w:highlight w:val="green"/>
          <w:lang w:val="es-MX"/>
        </w:rPr>
        <w:t>01 de Abril</w:t>
      </w:r>
      <w:r w:rsidR="008B25CC" w:rsidRPr="00F92E9B">
        <w:rPr>
          <w:rFonts w:ascii="Tahoma" w:hAnsi="Tahoma" w:cs="Tahoma"/>
          <w:b/>
          <w:sz w:val="20"/>
          <w:szCs w:val="20"/>
          <w:highlight w:val="green"/>
          <w:lang w:val="es-MX"/>
        </w:rPr>
        <w:t xml:space="preserve"> de 201</w:t>
      </w:r>
      <w:r w:rsidR="00EC14A4" w:rsidRPr="00F92E9B">
        <w:rPr>
          <w:rFonts w:ascii="Tahoma" w:hAnsi="Tahoma" w:cs="Tahoma"/>
          <w:b/>
          <w:sz w:val="20"/>
          <w:szCs w:val="20"/>
          <w:highlight w:val="green"/>
          <w:lang w:val="es-MX"/>
        </w:rPr>
        <w:t>3</w:t>
      </w:r>
      <w:r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Pr="00F92E9B">
        <w:rPr>
          <w:rFonts w:ascii="Tahoma" w:hAnsi="Tahoma" w:cs="Tahoma"/>
          <w:b/>
          <w:sz w:val="20"/>
          <w:szCs w:val="20"/>
          <w:highlight w:val="green"/>
          <w:lang w:val="es-MX"/>
        </w:rPr>
        <w:t xml:space="preserve"> horas.</w:t>
      </w:r>
      <w:r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lastRenderedPageBreak/>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según lo establece la regla I.2.1.15 de la resolución de la miscelánea fiscal para 2011 y al procedimiento II.2.1.12 del primero de julio de 2011</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lastRenderedPageBreak/>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w:t>
      </w:r>
      <w:proofErr w:type="spellStart"/>
      <w:r w:rsidR="000674E8">
        <w:rPr>
          <w:rFonts w:ascii="Tahoma" w:hAnsi="Tahoma" w:cs="Tahoma"/>
          <w:sz w:val="20"/>
          <w:lang w:val="es-MX"/>
        </w:rPr>
        <w:t>Compranet</w:t>
      </w:r>
      <w:proofErr w:type="spellEnd"/>
      <w:r w:rsidR="000674E8">
        <w:rPr>
          <w:rFonts w:ascii="Tahoma" w:hAnsi="Tahoma" w:cs="Tahoma"/>
          <w:sz w:val="20"/>
          <w:lang w:val="es-MX"/>
        </w:rPr>
        <w:t xml:space="preserve">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comprimir aquellos documentos que consten de mas de un archivo; para que al momento de ser cargados en su bóveda que corresponda, no existan problemas. Por lo anterior, en este caso en particular serian 3</w:t>
      </w:r>
      <w:r w:rsidR="00DB132D" w:rsidRPr="00DB132D">
        <w:rPr>
          <w:rFonts w:ascii="Tahoma" w:hAnsi="Tahoma" w:cs="Tahoma"/>
          <w:sz w:val="20"/>
          <w:lang w:val="es-MX"/>
        </w:rPr>
        <w:t>0</w:t>
      </w:r>
      <w:r w:rsidR="00B64D8A" w:rsidRPr="00DB132D">
        <w:rPr>
          <w:rFonts w:ascii="Tahoma" w:hAnsi="Tahoma" w:cs="Tahoma"/>
          <w:sz w:val="20"/>
          <w:lang w:val="es-MX"/>
        </w:rPr>
        <w:t xml:space="preserve"> archivos (1</w:t>
      </w:r>
      <w:r w:rsidR="00DB132D" w:rsidRPr="00DB132D">
        <w:rPr>
          <w:rFonts w:ascii="Tahoma" w:hAnsi="Tahoma" w:cs="Tahoma"/>
          <w:sz w:val="20"/>
          <w:lang w:val="es-MX"/>
        </w:rPr>
        <w:t>4</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C606D4" w:rsidP="00C606D4">
            <w:pPr>
              <w:tabs>
                <w:tab w:val="left" w:pos="426"/>
                <w:tab w:val="left" w:pos="993"/>
              </w:tabs>
              <w:ind w:right="-282"/>
              <w:jc w:val="center"/>
              <w:rPr>
                <w:rFonts w:ascii="Arial" w:hAnsi="Arial" w:cs="Arial"/>
                <w:sz w:val="20"/>
                <w:szCs w:val="20"/>
                <w:lang w:val="es-ES_tradnl"/>
              </w:rPr>
            </w:pPr>
            <w:r w:rsidRPr="00DB132D">
              <w:rPr>
                <w:rFonts w:ascii="Arial" w:hAnsi="Arial" w:cs="Arial"/>
                <w:sz w:val="20"/>
                <w:szCs w:val="20"/>
                <w:lang w:val="es-ES_tradnl"/>
              </w:rPr>
              <w:t>DIRECTOR GENERAL</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C606D4" w:rsidP="00C606D4">
            <w:pPr>
              <w:tabs>
                <w:tab w:val="left" w:pos="426"/>
                <w:tab w:val="left" w:pos="993"/>
              </w:tabs>
              <w:jc w:val="center"/>
              <w:rPr>
                <w:rFonts w:ascii="Arial" w:hAnsi="Arial" w:cs="Arial"/>
                <w:sz w:val="20"/>
                <w:szCs w:val="20"/>
                <w:lang w:val="es-ES_tradnl"/>
              </w:rPr>
            </w:pPr>
            <w:r w:rsidRPr="00DB132D">
              <w:rPr>
                <w:rFonts w:ascii="Arial" w:hAnsi="Arial" w:cs="Arial"/>
                <w:sz w:val="20"/>
                <w:szCs w:val="20"/>
                <w:lang w:val="es-ES_tradnl"/>
              </w:rPr>
              <w:t>LIC. ROBERTO DE LA GARZA LICON</w:t>
            </w: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D5A" w:rsidRDefault="00FF4D5A" w:rsidP="001A3777">
      <w:r>
        <w:separator/>
      </w:r>
    </w:p>
  </w:endnote>
  <w:endnote w:type="continuationSeparator" w:id="0">
    <w:p w:rsidR="00FF4D5A" w:rsidRDefault="00FF4D5A"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7AB" w:rsidRDefault="001247AB"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292C6F">
      <w:rPr>
        <w:b/>
        <w:noProof/>
      </w:rPr>
      <w:t>13</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92C6F">
      <w:rPr>
        <w:b/>
        <w:noProof/>
      </w:rPr>
      <w:t>33</w:t>
    </w:r>
    <w:r>
      <w:rPr>
        <w:b/>
        <w:sz w:val="24"/>
        <w:szCs w:val="24"/>
      </w:rPr>
      <w:fldChar w:fldCharType="end"/>
    </w:r>
  </w:p>
  <w:p w:rsidR="001247AB" w:rsidRDefault="001247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D5A" w:rsidRDefault="00FF4D5A" w:rsidP="001A3777">
      <w:r>
        <w:separator/>
      </w:r>
    </w:p>
  </w:footnote>
  <w:footnote w:type="continuationSeparator" w:id="0">
    <w:p w:rsidR="00FF4D5A" w:rsidRDefault="00FF4D5A"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B2DA4"/>
    <w:rsid w:val="000B7322"/>
    <w:rsid w:val="000C2B03"/>
    <w:rsid w:val="000C69B2"/>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7658"/>
    <w:rsid w:val="00291606"/>
    <w:rsid w:val="00292034"/>
    <w:rsid w:val="00292C6F"/>
    <w:rsid w:val="002956A1"/>
    <w:rsid w:val="00295BDE"/>
    <w:rsid w:val="002A1C3A"/>
    <w:rsid w:val="002A1DD2"/>
    <w:rsid w:val="002A1F56"/>
    <w:rsid w:val="002A435B"/>
    <w:rsid w:val="002A6641"/>
    <w:rsid w:val="002B06FC"/>
    <w:rsid w:val="002B0903"/>
    <w:rsid w:val="002B2A57"/>
    <w:rsid w:val="002C1CFC"/>
    <w:rsid w:val="002C5A15"/>
    <w:rsid w:val="002D30E6"/>
    <w:rsid w:val="002F1C52"/>
    <w:rsid w:val="002F4023"/>
    <w:rsid w:val="002F523E"/>
    <w:rsid w:val="003108E6"/>
    <w:rsid w:val="003113DB"/>
    <w:rsid w:val="00313CED"/>
    <w:rsid w:val="003331F0"/>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6188"/>
    <w:rsid w:val="0070675B"/>
    <w:rsid w:val="00712292"/>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5F10"/>
    <w:rsid w:val="00E72B4D"/>
    <w:rsid w:val="00E75CEF"/>
    <w:rsid w:val="00E77CD6"/>
    <w:rsid w:val="00E801E4"/>
    <w:rsid w:val="00E85B61"/>
    <w:rsid w:val="00E874A7"/>
    <w:rsid w:val="00E92B17"/>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6332D-414D-4A92-8AAD-DA85C4928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33</Pages>
  <Words>16264</Words>
  <Characters>89455</Characters>
  <Application>Microsoft Office Word</Application>
  <DocSecurity>0</DocSecurity>
  <Lines>745</Lines>
  <Paragraphs>211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19</cp:revision>
  <cp:lastPrinted>2012-10-01T18:22:00Z</cp:lastPrinted>
  <dcterms:created xsi:type="dcterms:W3CDTF">2012-10-01T14:59:00Z</dcterms:created>
  <dcterms:modified xsi:type="dcterms:W3CDTF">2013-03-04T23:06:00Z</dcterms:modified>
</cp:coreProperties>
</file>